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7C5D03" w14:textId="18DF875D" w:rsidR="00C31ED8" w:rsidRPr="001F7DC0" w:rsidRDefault="00C31ED8" w:rsidP="00C31ED8">
      <w:pPr>
        <w:pStyle w:val="a3"/>
        <w:tabs>
          <w:tab w:val="right" w:pos="9639"/>
        </w:tabs>
        <w:rPr>
          <w:rFonts w:eastAsia="MS Mincho"/>
          <w:noProof w:val="0"/>
          <w:sz w:val="24"/>
          <w:szCs w:val="24"/>
          <w:lang w:val="en-GB" w:eastAsia="en-GB"/>
        </w:rPr>
      </w:pPr>
      <w:r w:rsidRPr="001F7DC0">
        <w:rPr>
          <w:rFonts w:eastAsia="MS Mincho"/>
          <w:noProof w:val="0"/>
          <w:sz w:val="24"/>
          <w:szCs w:val="24"/>
          <w:lang w:val="en-GB" w:eastAsia="en-GB"/>
        </w:rPr>
        <w:t>3GPP TSG-RAN WG2 Meeting #11</w:t>
      </w:r>
      <w:r>
        <w:rPr>
          <w:rFonts w:eastAsia="MS Mincho"/>
          <w:noProof w:val="0"/>
          <w:sz w:val="24"/>
          <w:szCs w:val="24"/>
          <w:lang w:val="en-GB" w:eastAsia="en-GB"/>
        </w:rPr>
        <w:t>4</w:t>
      </w:r>
      <w:r w:rsidRPr="001F7DC0">
        <w:rPr>
          <w:rFonts w:eastAsia="MS Mincho"/>
          <w:noProof w:val="0"/>
          <w:sz w:val="24"/>
          <w:szCs w:val="24"/>
          <w:lang w:val="en-GB" w:eastAsia="en-GB"/>
        </w:rPr>
        <w:t xml:space="preserve"> electronic</w:t>
      </w:r>
      <w:r w:rsidRPr="001F7DC0">
        <w:rPr>
          <w:rFonts w:eastAsia="MS Mincho"/>
          <w:noProof w:val="0"/>
          <w:sz w:val="24"/>
          <w:szCs w:val="24"/>
          <w:lang w:val="en-GB" w:eastAsia="en-GB"/>
        </w:rPr>
        <w:tab/>
      </w:r>
      <w:r w:rsidRPr="00AE6A88">
        <w:rPr>
          <w:rFonts w:eastAsia="MS Mincho"/>
          <w:noProof w:val="0"/>
          <w:sz w:val="24"/>
          <w:szCs w:val="24"/>
          <w:lang w:val="en-GB" w:eastAsia="en-GB"/>
        </w:rPr>
        <w:t>R2-21</w:t>
      </w:r>
      <w:r w:rsidR="00134F35">
        <w:rPr>
          <w:rFonts w:eastAsia="MS Mincho"/>
          <w:noProof w:val="0"/>
          <w:sz w:val="24"/>
          <w:szCs w:val="24"/>
          <w:lang w:val="en-GB" w:eastAsia="en-GB"/>
        </w:rPr>
        <w:t>05819</w:t>
      </w:r>
    </w:p>
    <w:p w14:paraId="15CDFA88" w14:textId="0208ED2C" w:rsidR="00846B90" w:rsidRDefault="00C31ED8" w:rsidP="00C31ED8">
      <w:pPr>
        <w:pStyle w:val="a3"/>
        <w:tabs>
          <w:tab w:val="right" w:pos="9639"/>
        </w:tabs>
        <w:jc w:val="both"/>
        <w:rPr>
          <w:rFonts w:cs="Arial"/>
          <w:sz w:val="24"/>
          <w:lang w:eastAsia="zh-CN"/>
        </w:rPr>
      </w:pPr>
      <w:r w:rsidRPr="001F7DC0">
        <w:rPr>
          <w:rFonts w:eastAsia="MS Mincho"/>
          <w:noProof w:val="0"/>
          <w:sz w:val="24"/>
          <w:szCs w:val="24"/>
          <w:lang w:val="en-GB" w:eastAsia="en-GB"/>
        </w:rPr>
        <w:t xml:space="preserve">Online, </w:t>
      </w:r>
      <w:r>
        <w:rPr>
          <w:rFonts w:eastAsia="MS Mincho"/>
          <w:noProof w:val="0"/>
          <w:sz w:val="24"/>
          <w:szCs w:val="24"/>
          <w:lang w:val="en-GB" w:eastAsia="en-GB"/>
        </w:rPr>
        <w:t>May</w:t>
      </w:r>
      <w:r w:rsidRPr="001F7DC0">
        <w:rPr>
          <w:rFonts w:eastAsia="MS Mincho"/>
          <w:noProof w:val="0"/>
          <w:sz w:val="24"/>
          <w:szCs w:val="24"/>
          <w:lang w:val="en-GB" w:eastAsia="en-GB"/>
        </w:rPr>
        <w:t xml:space="preserve"> 1</w:t>
      </w:r>
      <w:r>
        <w:rPr>
          <w:rFonts w:eastAsia="MS Mincho"/>
          <w:noProof w:val="0"/>
          <w:sz w:val="24"/>
          <w:szCs w:val="24"/>
          <w:lang w:val="en-GB" w:eastAsia="en-GB"/>
        </w:rPr>
        <w:t>9</w:t>
      </w:r>
      <w:r w:rsidRPr="001F7DC0">
        <w:rPr>
          <w:rFonts w:eastAsia="MS Mincho"/>
          <w:noProof w:val="0"/>
          <w:sz w:val="24"/>
          <w:szCs w:val="24"/>
          <w:lang w:val="en-GB" w:eastAsia="en-GB"/>
        </w:rPr>
        <w:t xml:space="preserve"> – </w:t>
      </w:r>
      <w:r>
        <w:rPr>
          <w:rFonts w:eastAsia="MS Mincho"/>
          <w:noProof w:val="0"/>
          <w:sz w:val="24"/>
          <w:szCs w:val="24"/>
          <w:lang w:val="en-GB" w:eastAsia="en-GB"/>
        </w:rPr>
        <w:t>May</w:t>
      </w:r>
      <w:r w:rsidRPr="001F7DC0">
        <w:rPr>
          <w:rFonts w:eastAsia="MS Mincho"/>
          <w:noProof w:val="0"/>
          <w:sz w:val="24"/>
          <w:szCs w:val="24"/>
          <w:lang w:val="en-GB" w:eastAsia="en-GB"/>
        </w:rPr>
        <w:t xml:space="preserve"> 2</w:t>
      </w:r>
      <w:r>
        <w:rPr>
          <w:rFonts w:eastAsia="MS Mincho"/>
          <w:noProof w:val="0"/>
          <w:sz w:val="24"/>
          <w:szCs w:val="24"/>
          <w:lang w:val="en-GB" w:eastAsia="en-GB"/>
        </w:rPr>
        <w:t>7</w:t>
      </w:r>
      <w:r w:rsidRPr="001F7DC0">
        <w:rPr>
          <w:rFonts w:eastAsia="MS Mincho"/>
          <w:noProof w:val="0"/>
          <w:sz w:val="24"/>
          <w:szCs w:val="24"/>
          <w:lang w:val="en-GB" w:eastAsia="en-GB"/>
        </w:rPr>
        <w:t>, 2021</w:t>
      </w:r>
    </w:p>
    <w:p w14:paraId="1A10DE58" w14:textId="77777777" w:rsidR="00186BCD" w:rsidRPr="00846B90"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77777777"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646CB0">
        <w:rPr>
          <w:rFonts w:eastAsia="宋体" w:cs="Arial"/>
          <w:b/>
          <w:bCs/>
          <w:kern w:val="2"/>
          <w:sz w:val="24"/>
          <w:szCs w:val="22"/>
          <w:lang w:val="en-US" w:eastAsia="zh-CN"/>
        </w:rPr>
        <w:t>8</w:t>
      </w:r>
      <w:r w:rsidR="00431E84">
        <w:rPr>
          <w:rFonts w:eastAsia="宋体" w:cs="Arial" w:hint="eastAsia"/>
          <w:b/>
          <w:bCs/>
          <w:kern w:val="2"/>
          <w:sz w:val="24"/>
          <w:szCs w:val="22"/>
          <w:lang w:val="en-US" w:eastAsia="zh-CN"/>
        </w:rPr>
        <w:t>.</w:t>
      </w:r>
      <w:r w:rsidR="00646CB0">
        <w:rPr>
          <w:rFonts w:eastAsia="宋体" w:cs="Arial"/>
          <w:b/>
          <w:bCs/>
          <w:kern w:val="2"/>
          <w:sz w:val="24"/>
          <w:szCs w:val="22"/>
          <w:lang w:val="en-US" w:eastAsia="zh-CN"/>
        </w:rPr>
        <w:t>10.</w:t>
      </w:r>
      <w:r w:rsidR="00420773">
        <w:rPr>
          <w:rFonts w:eastAsia="宋体" w:cs="Arial"/>
          <w:b/>
          <w:bCs/>
          <w:kern w:val="2"/>
          <w:sz w:val="24"/>
          <w:szCs w:val="22"/>
          <w:lang w:val="en-US" w:eastAsia="zh-CN"/>
        </w:rPr>
        <w:t>3</w:t>
      </w:r>
      <w:r w:rsidR="00646CB0">
        <w:rPr>
          <w:rFonts w:eastAsia="宋体" w:cs="Arial"/>
          <w:b/>
          <w:bCs/>
          <w:kern w:val="2"/>
          <w:sz w:val="24"/>
          <w:szCs w:val="22"/>
          <w:lang w:val="en-US" w:eastAsia="zh-CN"/>
        </w:rPr>
        <w:t>.</w:t>
      </w:r>
      <w:r w:rsidR="00420773">
        <w:rPr>
          <w:rFonts w:eastAsia="宋体" w:cs="Arial"/>
          <w:b/>
          <w:bCs/>
          <w:kern w:val="2"/>
          <w:sz w:val="24"/>
          <w:szCs w:val="22"/>
          <w:lang w:val="en-US" w:eastAsia="zh-CN"/>
        </w:rPr>
        <w:t>3</w:t>
      </w:r>
    </w:p>
    <w:p w14:paraId="58D186C8"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r w:rsidR="0023449A">
        <w:rPr>
          <w:rFonts w:ascii="Arial" w:hAnsi="Arial" w:cs="Arial" w:hint="eastAsia"/>
          <w:b/>
          <w:bCs/>
          <w:sz w:val="24"/>
        </w:rPr>
        <w:t>, Motorola Mobility</w:t>
      </w:r>
      <w:bookmarkEnd w:id="0"/>
      <w:bookmarkEnd w:id="1"/>
      <w:bookmarkEnd w:id="2"/>
      <w:bookmarkEnd w:id="3"/>
    </w:p>
    <w:p w14:paraId="792C96E5" w14:textId="521DE7BB"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C31ED8" w:rsidRPr="00C31ED8">
        <w:rPr>
          <w:rFonts w:ascii="Arial" w:hAnsi="Arial" w:cs="Arial"/>
          <w:b/>
          <w:bCs/>
          <w:sz w:val="24"/>
        </w:rPr>
        <w:t>UE assistance for measurement gap and SMTC configuration in NTN</w:t>
      </w:r>
    </w:p>
    <w:p w14:paraId="3EA5D324"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38BEEEC8" w14:textId="55B08163" w:rsidR="003931D6" w:rsidRDefault="003931D6" w:rsidP="000B6AD1">
      <w:pPr>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 xml:space="preserve">he last RAN2#113bis-e meeting made the following agreements regarding UE assistance for </w:t>
      </w:r>
      <w:r w:rsidRPr="003931D6">
        <w:rPr>
          <w:rFonts w:ascii="Times New Roman" w:hAnsi="Times New Roman"/>
          <w:sz w:val="20"/>
          <w:szCs w:val="20"/>
          <w:lang w:val="en-GB"/>
        </w:rPr>
        <w:t>measurement gap and SMTC configuration in NTN</w:t>
      </w:r>
      <w:r>
        <w:rPr>
          <w:rFonts w:ascii="Times New Roman" w:hAnsi="Times New Roman"/>
          <w:sz w:val="20"/>
          <w:szCs w:val="20"/>
          <w:lang w:val="en-GB"/>
        </w:rPr>
        <w:t>:</w:t>
      </w:r>
    </w:p>
    <w:tbl>
      <w:tblPr>
        <w:tblStyle w:val="af1"/>
        <w:tblW w:w="0" w:type="auto"/>
        <w:tblLook w:val="04A0" w:firstRow="1" w:lastRow="0" w:firstColumn="1" w:lastColumn="0" w:noHBand="0" w:noVBand="1"/>
      </w:tblPr>
      <w:tblGrid>
        <w:gridCol w:w="9629"/>
      </w:tblGrid>
      <w:tr w:rsidR="003931D6" w14:paraId="187CB000" w14:textId="77777777" w:rsidTr="003931D6">
        <w:tc>
          <w:tcPr>
            <w:tcW w:w="9629" w:type="dxa"/>
          </w:tcPr>
          <w:p w14:paraId="06B63E32" w14:textId="4EAE5B6F" w:rsidR="003931D6" w:rsidRPr="00686606" w:rsidRDefault="003931D6" w:rsidP="00686606">
            <w:pPr>
              <w:pStyle w:val="Comments"/>
              <w:ind w:left="420"/>
              <w:rPr>
                <w:rFonts w:ascii="Times New Roman" w:hAnsi="Times New Roman"/>
                <w:b/>
                <w:bCs/>
                <w:i w:val="0"/>
                <w:iCs/>
                <w:sz w:val="20"/>
                <w:szCs w:val="20"/>
              </w:rPr>
            </w:pPr>
            <w:r w:rsidRPr="00686606">
              <w:rPr>
                <w:rFonts w:ascii="Times New Roman" w:hAnsi="Times New Roman"/>
                <w:b/>
                <w:bCs/>
                <w:i w:val="0"/>
                <w:iCs/>
                <w:sz w:val="20"/>
                <w:szCs w:val="20"/>
              </w:rPr>
              <w:t>Optional new UE assistance is defined in Rel-17 NTN for network to properly (re)configure the SMTC and/or measurement gap.</w:t>
            </w:r>
          </w:p>
        </w:tc>
      </w:tr>
    </w:tbl>
    <w:p w14:paraId="2F408294" w14:textId="5BEF4749" w:rsidR="00182C9C" w:rsidRDefault="00686606" w:rsidP="000B6AD1">
      <w:pPr>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his contribution further discusses the contents of such UE assistance and provide our views.</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676B0A33" w14:textId="3BE1073A" w:rsidR="009D43C7" w:rsidRDefault="00F94329" w:rsidP="00E02A35">
      <w:pPr>
        <w:rPr>
          <w:rFonts w:ascii="Times New Roman" w:hAnsi="Times New Roman"/>
          <w:sz w:val="20"/>
          <w:szCs w:val="20"/>
          <w:lang w:val="en-GB"/>
        </w:rPr>
      </w:pPr>
      <w:r>
        <w:rPr>
          <w:rFonts w:ascii="Times New Roman" w:hAnsi="Times New Roman" w:hint="eastAsia"/>
          <w:sz w:val="20"/>
          <w:szCs w:val="20"/>
          <w:lang w:val="en-GB"/>
        </w:rPr>
        <w:t>I</w:t>
      </w:r>
      <w:r>
        <w:rPr>
          <w:rFonts w:ascii="Times New Roman" w:hAnsi="Times New Roman"/>
          <w:sz w:val="20"/>
          <w:szCs w:val="20"/>
          <w:lang w:val="en-GB"/>
        </w:rPr>
        <w:t xml:space="preserve">n NTN, the </w:t>
      </w:r>
      <w:r w:rsidRPr="00802CA7">
        <w:rPr>
          <w:rFonts w:ascii="Times New Roman" w:hAnsi="Times New Roman"/>
          <w:sz w:val="20"/>
          <w:szCs w:val="20"/>
          <w:lang w:val="en-GB"/>
        </w:rPr>
        <w:t xml:space="preserve">propagation delay difference between a UE and two </w:t>
      </w:r>
      <w:r>
        <w:rPr>
          <w:rFonts w:ascii="Times New Roman" w:hAnsi="Times New Roman"/>
          <w:sz w:val="20"/>
          <w:szCs w:val="20"/>
          <w:lang w:val="en-GB"/>
        </w:rPr>
        <w:t>gNBs could be much larger than that in terrestrial networks, as fo</w:t>
      </w:r>
      <w:r w:rsidRPr="00F94329">
        <w:rPr>
          <w:rFonts w:ascii="Times New Roman" w:hAnsi="Times New Roman"/>
          <w:sz w:val="20"/>
          <w:szCs w:val="20"/>
          <w:lang w:val="en-GB"/>
        </w:rPr>
        <w:t>r terrestrial networks the round-trip propagation delay can be less than 0.1ms while for NTN it can be 25.77ms (LEO at 600km) to 541.46ms (GEO)</w:t>
      </w:r>
      <w:r>
        <w:rPr>
          <w:rFonts w:ascii="Times New Roman" w:hAnsi="Times New Roman"/>
          <w:sz w:val="20"/>
          <w:szCs w:val="20"/>
          <w:lang w:val="en-GB"/>
        </w:rPr>
        <w:t xml:space="preserve">. </w:t>
      </w:r>
      <w:r w:rsidRPr="00F94329">
        <w:rPr>
          <w:rFonts w:ascii="Times New Roman" w:hAnsi="Times New Roman"/>
          <w:sz w:val="20"/>
          <w:szCs w:val="20"/>
          <w:lang w:val="en-GB"/>
        </w:rPr>
        <w:t xml:space="preserve">If the </w:t>
      </w:r>
      <w:r>
        <w:rPr>
          <w:rFonts w:ascii="Times New Roman" w:hAnsi="Times New Roman"/>
          <w:sz w:val="20"/>
          <w:szCs w:val="20"/>
          <w:lang w:val="en-GB"/>
        </w:rPr>
        <w:t>n</w:t>
      </w:r>
      <w:r w:rsidRPr="00F94329">
        <w:rPr>
          <w:rFonts w:ascii="Times New Roman" w:hAnsi="Times New Roman"/>
          <w:sz w:val="20"/>
          <w:szCs w:val="20"/>
          <w:lang w:val="en-GB"/>
        </w:rPr>
        <w:t xml:space="preserve">eighboring cell measurement configuration </w:t>
      </w:r>
      <w:r>
        <w:rPr>
          <w:rFonts w:ascii="Times New Roman" w:hAnsi="Times New Roman"/>
          <w:sz w:val="20"/>
          <w:szCs w:val="20"/>
          <w:lang w:val="en-GB"/>
        </w:rPr>
        <w:t xml:space="preserve">(e.g. </w:t>
      </w:r>
      <w:r w:rsidRPr="00F94329">
        <w:rPr>
          <w:rFonts w:ascii="Times New Roman" w:hAnsi="Times New Roman"/>
          <w:sz w:val="20"/>
          <w:szCs w:val="20"/>
          <w:lang w:val="en-GB"/>
        </w:rPr>
        <w:t>SMTC</w:t>
      </w:r>
      <w:r w:rsidR="00686606">
        <w:rPr>
          <w:rFonts w:ascii="Times New Roman" w:hAnsi="Times New Roman"/>
          <w:sz w:val="20"/>
          <w:szCs w:val="20"/>
          <w:lang w:val="en-GB"/>
        </w:rPr>
        <w:t xml:space="preserve"> windows and</w:t>
      </w:r>
      <w:r w:rsidRPr="00F94329">
        <w:rPr>
          <w:rFonts w:ascii="Times New Roman" w:hAnsi="Times New Roman"/>
          <w:sz w:val="20"/>
          <w:szCs w:val="20"/>
          <w:lang w:val="en-GB"/>
        </w:rPr>
        <w:t xml:space="preserve"> measurement gap</w:t>
      </w:r>
      <w:r w:rsidR="00686606">
        <w:rPr>
          <w:rFonts w:ascii="Times New Roman" w:hAnsi="Times New Roman"/>
          <w:sz w:val="20"/>
          <w:szCs w:val="20"/>
          <w:lang w:val="en-GB"/>
        </w:rPr>
        <w:t>s</w:t>
      </w:r>
      <w:r>
        <w:rPr>
          <w:rFonts w:ascii="Times New Roman" w:hAnsi="Times New Roman"/>
          <w:sz w:val="20"/>
          <w:szCs w:val="20"/>
          <w:lang w:val="en-GB"/>
        </w:rPr>
        <w:t>)</w:t>
      </w:r>
      <w:r w:rsidRPr="00F94329">
        <w:rPr>
          <w:rFonts w:ascii="Times New Roman" w:hAnsi="Times New Roman"/>
          <w:sz w:val="20"/>
          <w:szCs w:val="20"/>
          <w:lang w:val="en-GB"/>
        </w:rPr>
        <w:t xml:space="preserve"> does not consider </w:t>
      </w:r>
      <w:r>
        <w:rPr>
          <w:rFonts w:ascii="Times New Roman" w:hAnsi="Times New Roman"/>
          <w:sz w:val="20"/>
          <w:szCs w:val="20"/>
          <w:lang w:val="en-GB"/>
        </w:rPr>
        <w:t>such</w:t>
      </w:r>
      <w:r w:rsidRPr="00F94329">
        <w:rPr>
          <w:rFonts w:ascii="Times New Roman" w:hAnsi="Times New Roman"/>
          <w:sz w:val="20"/>
          <w:szCs w:val="20"/>
          <w:lang w:val="en-GB"/>
        </w:rPr>
        <w:t xml:space="preserve"> propagation delay difference, the UE may miss the SSB/CSI-RS window and will thus be unable to perform measurements on the configured reference signals</w:t>
      </w:r>
      <w:r>
        <w:rPr>
          <w:rFonts w:ascii="Times New Roman" w:hAnsi="Times New Roman"/>
          <w:sz w:val="20"/>
          <w:szCs w:val="20"/>
          <w:lang w:val="en-GB"/>
        </w:rPr>
        <w:t xml:space="preserve"> from a neighboring cell</w:t>
      </w:r>
      <w:r w:rsidRPr="00F94329">
        <w:rPr>
          <w:rFonts w:ascii="Times New Roman" w:hAnsi="Times New Roman"/>
          <w:sz w:val="20"/>
          <w:szCs w:val="20"/>
          <w:lang w:val="en-GB"/>
        </w:rPr>
        <w:t>.</w:t>
      </w:r>
      <w:r w:rsidRPr="00686606">
        <w:rPr>
          <w:rFonts w:ascii="Times New Roman" w:hAnsi="Times New Roman"/>
          <w:sz w:val="20"/>
          <w:szCs w:val="20"/>
          <w:lang w:val="en-GB"/>
        </w:rPr>
        <w:t xml:space="preserve"> </w:t>
      </w:r>
      <w:r w:rsidR="00686606">
        <w:rPr>
          <w:rFonts w:ascii="Times New Roman" w:hAnsi="Times New Roman"/>
          <w:sz w:val="20"/>
          <w:szCs w:val="20"/>
          <w:lang w:val="en-GB"/>
        </w:rPr>
        <w:t xml:space="preserve">To solve this issue there was an email discussion </w:t>
      </w:r>
      <w:r w:rsidR="00686606" w:rsidRPr="00686606">
        <w:rPr>
          <w:rFonts w:ascii="Times New Roman" w:hAnsi="Times New Roman"/>
          <w:b/>
          <w:bCs/>
          <w:sz w:val="20"/>
          <w:szCs w:val="20"/>
          <w:lang w:val="en-GB"/>
        </w:rPr>
        <w:t>[Post113-e][</w:t>
      </w:r>
      <w:proofErr w:type="gramStart"/>
      <w:r w:rsidR="00686606" w:rsidRPr="00686606">
        <w:rPr>
          <w:rFonts w:ascii="Times New Roman" w:hAnsi="Times New Roman"/>
          <w:b/>
          <w:bCs/>
          <w:sz w:val="20"/>
          <w:szCs w:val="20"/>
          <w:lang w:val="en-GB"/>
        </w:rPr>
        <w:t>108][</w:t>
      </w:r>
      <w:proofErr w:type="gramEnd"/>
      <w:r w:rsidR="00686606" w:rsidRPr="00686606">
        <w:rPr>
          <w:rFonts w:ascii="Times New Roman" w:hAnsi="Times New Roman"/>
          <w:b/>
          <w:bCs/>
          <w:sz w:val="20"/>
          <w:szCs w:val="20"/>
          <w:lang w:val="en-GB"/>
        </w:rPr>
        <w:t>NTN] SMTC and measurement gap</w:t>
      </w:r>
      <w:r w:rsidR="00686606">
        <w:rPr>
          <w:rFonts w:ascii="Times New Roman" w:hAnsi="Times New Roman"/>
          <w:sz w:val="20"/>
          <w:szCs w:val="20"/>
          <w:lang w:val="en-GB"/>
        </w:rPr>
        <w:t xml:space="preserve"> in RAN2#113bis-e meeting and the following agreements are made:</w:t>
      </w:r>
    </w:p>
    <w:tbl>
      <w:tblPr>
        <w:tblStyle w:val="af1"/>
        <w:tblW w:w="0" w:type="auto"/>
        <w:tblLook w:val="04A0" w:firstRow="1" w:lastRow="0" w:firstColumn="1" w:lastColumn="0" w:noHBand="0" w:noVBand="1"/>
      </w:tblPr>
      <w:tblGrid>
        <w:gridCol w:w="9629"/>
      </w:tblGrid>
      <w:tr w:rsidR="00686606" w14:paraId="0A867695" w14:textId="77777777" w:rsidTr="00686606">
        <w:tc>
          <w:tcPr>
            <w:tcW w:w="9629" w:type="dxa"/>
          </w:tcPr>
          <w:p w14:paraId="637FDA24" w14:textId="77777777" w:rsidR="00686606" w:rsidRPr="00686606" w:rsidRDefault="00686606" w:rsidP="00686606">
            <w:pPr>
              <w:pStyle w:val="Comments"/>
              <w:numPr>
                <w:ilvl w:val="0"/>
                <w:numId w:val="38"/>
              </w:numPr>
              <w:rPr>
                <w:rFonts w:ascii="Times New Roman" w:hAnsi="Times New Roman"/>
                <w:i w:val="0"/>
                <w:iCs/>
                <w:sz w:val="20"/>
                <w:szCs w:val="20"/>
              </w:rPr>
            </w:pPr>
            <w:r w:rsidRPr="00686606">
              <w:rPr>
                <w:rFonts w:ascii="Times New Roman" w:hAnsi="Times New Roman"/>
                <w:i w:val="0"/>
                <w:iCs/>
                <w:sz w:val="20"/>
                <w:szCs w:val="20"/>
              </w:rPr>
              <w:t xml:space="preserve">For Rel-17 NTN, Rel-17 NR operation is enhanced (e.g. the SMTC configuration and UE measurement gap onfiguration) aiming to </w:t>
            </w:r>
            <w:r w:rsidRPr="00C848CD">
              <w:rPr>
                <w:rFonts w:ascii="Times New Roman" w:hAnsi="Times New Roman"/>
                <w:b/>
                <w:bCs/>
                <w:i w:val="0"/>
                <w:iCs/>
                <w:sz w:val="20"/>
                <w:szCs w:val="20"/>
              </w:rPr>
              <w:t>address the issues associated with the different/larger propagation delays</w:t>
            </w:r>
            <w:r w:rsidRPr="00686606">
              <w:rPr>
                <w:rFonts w:ascii="Times New Roman" w:hAnsi="Times New Roman"/>
                <w:i w:val="0"/>
                <w:iCs/>
                <w:sz w:val="20"/>
                <w:szCs w:val="20"/>
              </w:rPr>
              <w:t>, and the satellites (considering e.g. their deployment, mobility, height, minimum elevation and prioritizing typical NTN scenarios).</w:t>
            </w:r>
          </w:p>
          <w:p w14:paraId="3AE070C5" w14:textId="77777777" w:rsidR="00686606" w:rsidRPr="00686606" w:rsidRDefault="00686606" w:rsidP="00686606">
            <w:pPr>
              <w:pStyle w:val="Comments"/>
              <w:numPr>
                <w:ilvl w:val="0"/>
                <w:numId w:val="38"/>
              </w:numPr>
              <w:rPr>
                <w:rFonts w:ascii="Times New Roman" w:hAnsi="Times New Roman"/>
                <w:i w:val="0"/>
                <w:iCs/>
                <w:sz w:val="20"/>
                <w:szCs w:val="20"/>
              </w:rPr>
            </w:pPr>
            <w:r w:rsidRPr="00686606">
              <w:rPr>
                <w:rFonts w:ascii="Times New Roman" w:hAnsi="Times New Roman"/>
                <w:i w:val="0"/>
                <w:iCs/>
                <w:sz w:val="20"/>
                <w:szCs w:val="20"/>
              </w:rPr>
              <w:t>Rel-17 NTN will not rely only on network implementation to address the issue explained in agreement 1.</w:t>
            </w:r>
          </w:p>
          <w:p w14:paraId="4F52F94D" w14:textId="77777777" w:rsidR="00686606" w:rsidRPr="00686606" w:rsidRDefault="00686606" w:rsidP="00686606">
            <w:pPr>
              <w:pStyle w:val="Comments"/>
              <w:numPr>
                <w:ilvl w:val="0"/>
                <w:numId w:val="38"/>
              </w:numPr>
              <w:rPr>
                <w:rFonts w:ascii="Times New Roman" w:hAnsi="Times New Roman"/>
                <w:i w:val="0"/>
                <w:iCs/>
                <w:sz w:val="20"/>
                <w:szCs w:val="20"/>
              </w:rPr>
            </w:pPr>
            <w:r w:rsidRPr="00686606">
              <w:rPr>
                <w:rFonts w:ascii="Times New Roman" w:hAnsi="Times New Roman"/>
                <w:i w:val="0"/>
                <w:iCs/>
                <w:sz w:val="20"/>
                <w:szCs w:val="20"/>
              </w:rPr>
              <w:t>Enhancements of the SMTC configuration is supported for Rel-17 NTN.</w:t>
            </w:r>
          </w:p>
          <w:p w14:paraId="3D32E09B" w14:textId="77777777" w:rsidR="00686606" w:rsidRPr="00686606" w:rsidRDefault="00686606" w:rsidP="00686606">
            <w:pPr>
              <w:pStyle w:val="Comments"/>
              <w:numPr>
                <w:ilvl w:val="0"/>
                <w:numId w:val="38"/>
              </w:numPr>
              <w:rPr>
                <w:rFonts w:ascii="Times New Roman" w:hAnsi="Times New Roman"/>
                <w:b/>
                <w:bCs/>
                <w:i w:val="0"/>
                <w:iCs/>
                <w:sz w:val="20"/>
                <w:szCs w:val="20"/>
              </w:rPr>
            </w:pPr>
            <w:r w:rsidRPr="00686606">
              <w:rPr>
                <w:rFonts w:ascii="Times New Roman" w:hAnsi="Times New Roman"/>
                <w:b/>
                <w:bCs/>
                <w:i w:val="0"/>
                <w:iCs/>
                <w:sz w:val="20"/>
                <w:szCs w:val="20"/>
              </w:rPr>
              <w:t>Optional new UE assistance is defined in Rel-17 NTN for network to properly (re)configure the SMTC and/or measurement gap.</w:t>
            </w:r>
          </w:p>
          <w:p w14:paraId="63DF67C8" w14:textId="77777777" w:rsidR="00686606" w:rsidRPr="00686606" w:rsidRDefault="00686606" w:rsidP="00686606">
            <w:pPr>
              <w:pStyle w:val="Comments"/>
              <w:numPr>
                <w:ilvl w:val="0"/>
                <w:numId w:val="38"/>
              </w:numPr>
              <w:rPr>
                <w:rFonts w:ascii="Times New Roman" w:hAnsi="Times New Roman"/>
                <w:i w:val="0"/>
                <w:iCs/>
                <w:sz w:val="20"/>
                <w:szCs w:val="20"/>
              </w:rPr>
            </w:pPr>
            <w:r w:rsidRPr="00686606">
              <w:rPr>
                <w:rFonts w:ascii="Times New Roman" w:hAnsi="Times New Roman"/>
                <w:i w:val="0"/>
                <w:iCs/>
                <w:sz w:val="20"/>
                <w:szCs w:val="20"/>
              </w:rPr>
              <w:t>For Rel-17 NTN, one or more SMTC configuration(s) associated to one frequency can be configured. FFS solution details.</w:t>
            </w:r>
          </w:p>
          <w:p w14:paraId="0C9D5CD2" w14:textId="77777777" w:rsidR="00686606" w:rsidRPr="00686606" w:rsidRDefault="00686606" w:rsidP="00686606">
            <w:pPr>
              <w:pStyle w:val="Comments"/>
              <w:ind w:left="420"/>
              <w:rPr>
                <w:rFonts w:ascii="Times New Roman" w:hAnsi="Times New Roman"/>
                <w:i w:val="0"/>
                <w:iCs/>
                <w:sz w:val="20"/>
                <w:szCs w:val="20"/>
              </w:rPr>
            </w:pPr>
            <w:r w:rsidRPr="00686606">
              <w:rPr>
                <w:rFonts w:ascii="Times New Roman" w:hAnsi="Times New Roman"/>
                <w:i w:val="0"/>
                <w:iCs/>
                <w:sz w:val="20"/>
                <w:szCs w:val="20"/>
              </w:rPr>
              <w:t>- The SMTC configuration can be associated with a set of cells (e.g., per satellite or any other suitable set per gNB determination).</w:t>
            </w:r>
          </w:p>
          <w:p w14:paraId="0BFE8CC1" w14:textId="77777777" w:rsidR="00686606" w:rsidRPr="00686606" w:rsidRDefault="00686606" w:rsidP="00686606">
            <w:pPr>
              <w:pStyle w:val="Comments"/>
              <w:ind w:left="420"/>
              <w:rPr>
                <w:rFonts w:ascii="Times New Roman" w:hAnsi="Times New Roman"/>
                <w:i w:val="0"/>
                <w:iCs/>
                <w:sz w:val="20"/>
                <w:szCs w:val="20"/>
              </w:rPr>
            </w:pPr>
            <w:r w:rsidRPr="00686606">
              <w:rPr>
                <w:rFonts w:ascii="Times New Roman" w:hAnsi="Times New Roman"/>
                <w:i w:val="0"/>
                <w:iCs/>
                <w:sz w:val="20"/>
                <w:szCs w:val="20"/>
              </w:rPr>
              <w:t>- The multiple SMTC configurations are enabled by introducing different new offsets in addition to the legacy SMTC configuration. FFS how the offsets will be managed/signalled.</w:t>
            </w:r>
          </w:p>
          <w:p w14:paraId="3F6A7EE3" w14:textId="77777777" w:rsidR="00686606" w:rsidRPr="00686606" w:rsidRDefault="00686606" w:rsidP="00686606">
            <w:pPr>
              <w:pStyle w:val="Comments"/>
              <w:ind w:left="420"/>
              <w:rPr>
                <w:rFonts w:ascii="Times New Roman" w:hAnsi="Times New Roman"/>
                <w:i w:val="0"/>
                <w:iCs/>
                <w:sz w:val="20"/>
                <w:szCs w:val="20"/>
              </w:rPr>
            </w:pPr>
            <w:r w:rsidRPr="00686606">
              <w:rPr>
                <w:rFonts w:ascii="Times New Roman" w:hAnsi="Times New Roman"/>
                <w:i w:val="0"/>
                <w:iCs/>
                <w:sz w:val="20"/>
                <w:szCs w:val="20"/>
              </w:rPr>
              <w:t xml:space="preserve">- FFS the following open questions: </w:t>
            </w:r>
          </w:p>
          <w:p w14:paraId="73929BD6" w14:textId="77777777" w:rsidR="00686606" w:rsidRPr="00686606" w:rsidRDefault="00686606" w:rsidP="00686606">
            <w:pPr>
              <w:pStyle w:val="Comments"/>
              <w:ind w:left="420"/>
              <w:rPr>
                <w:rFonts w:ascii="Times New Roman" w:hAnsi="Times New Roman"/>
                <w:i w:val="0"/>
                <w:iCs/>
                <w:sz w:val="20"/>
                <w:szCs w:val="20"/>
              </w:rPr>
            </w:pPr>
            <w:r w:rsidRPr="00686606">
              <w:rPr>
                <w:rFonts w:ascii="Times New Roman" w:hAnsi="Times New Roman"/>
                <w:i w:val="0"/>
                <w:iCs/>
                <w:sz w:val="20"/>
                <w:szCs w:val="20"/>
              </w:rPr>
              <w:tab/>
              <w:t>(a) can the UE be configured with multiple SMTCs per carrier and use them all in parallel?</w:t>
            </w:r>
          </w:p>
          <w:p w14:paraId="5A71449F" w14:textId="77777777" w:rsidR="00686606" w:rsidRPr="00686606" w:rsidRDefault="00686606" w:rsidP="00686606">
            <w:pPr>
              <w:pStyle w:val="Comments"/>
              <w:ind w:left="420"/>
              <w:rPr>
                <w:rFonts w:ascii="Times New Roman" w:hAnsi="Times New Roman"/>
                <w:i w:val="0"/>
                <w:iCs/>
                <w:sz w:val="20"/>
                <w:szCs w:val="20"/>
              </w:rPr>
            </w:pPr>
            <w:r w:rsidRPr="00686606">
              <w:rPr>
                <w:rFonts w:ascii="Times New Roman" w:hAnsi="Times New Roman"/>
                <w:i w:val="0"/>
                <w:iCs/>
                <w:sz w:val="20"/>
                <w:szCs w:val="20"/>
              </w:rPr>
              <w:tab/>
              <w:t xml:space="preserve">(b) How the NW knows which SMTC (incl. offsets/periodicity, etc.) is relevant for a particular UE? </w:t>
            </w:r>
          </w:p>
          <w:p w14:paraId="4662668C" w14:textId="77777777" w:rsidR="00686606" w:rsidRPr="00686606" w:rsidRDefault="00686606" w:rsidP="00686606">
            <w:pPr>
              <w:pStyle w:val="Comments"/>
              <w:ind w:left="420"/>
              <w:rPr>
                <w:rFonts w:ascii="Times New Roman" w:hAnsi="Times New Roman"/>
                <w:i w:val="0"/>
                <w:iCs/>
                <w:sz w:val="20"/>
                <w:szCs w:val="20"/>
              </w:rPr>
            </w:pPr>
            <w:r w:rsidRPr="00686606">
              <w:rPr>
                <w:rFonts w:ascii="Times New Roman" w:hAnsi="Times New Roman"/>
                <w:i w:val="0"/>
                <w:iCs/>
                <w:sz w:val="20"/>
                <w:szCs w:val="20"/>
              </w:rPr>
              <w:lastRenderedPageBreak/>
              <w:tab/>
              <w:t>(c) Is there any validity: in time or for certain location only, foreseen in such multiple SMTC configuration?</w:t>
            </w:r>
          </w:p>
          <w:p w14:paraId="4804DA15" w14:textId="77777777" w:rsidR="00686606" w:rsidRPr="00686606" w:rsidRDefault="00686606" w:rsidP="00686606">
            <w:pPr>
              <w:pStyle w:val="Comments"/>
              <w:ind w:left="420"/>
              <w:rPr>
                <w:rFonts w:ascii="Times New Roman" w:hAnsi="Times New Roman"/>
                <w:i w:val="0"/>
                <w:iCs/>
                <w:sz w:val="20"/>
                <w:szCs w:val="20"/>
              </w:rPr>
            </w:pPr>
            <w:r w:rsidRPr="00686606">
              <w:rPr>
                <w:rFonts w:ascii="Times New Roman" w:hAnsi="Times New Roman"/>
                <w:i w:val="0"/>
                <w:iCs/>
                <w:sz w:val="20"/>
                <w:szCs w:val="20"/>
              </w:rPr>
              <w:tab/>
              <w:t>(d) What is the potential impact on the signalling, assuming this delay is a dynamic value?</w:t>
            </w:r>
          </w:p>
          <w:p w14:paraId="7D2F2D91" w14:textId="77777777" w:rsidR="00686606" w:rsidRPr="00686606" w:rsidRDefault="00686606" w:rsidP="00686606">
            <w:pPr>
              <w:pStyle w:val="Comments"/>
              <w:ind w:left="420"/>
              <w:rPr>
                <w:rFonts w:ascii="Times New Roman" w:hAnsi="Times New Roman"/>
                <w:i w:val="0"/>
                <w:iCs/>
                <w:sz w:val="20"/>
                <w:szCs w:val="20"/>
              </w:rPr>
            </w:pPr>
            <w:r w:rsidRPr="00686606">
              <w:rPr>
                <w:rFonts w:ascii="Times New Roman" w:hAnsi="Times New Roman"/>
                <w:i w:val="0"/>
                <w:iCs/>
                <w:sz w:val="20"/>
                <w:szCs w:val="20"/>
              </w:rPr>
              <w:tab/>
              <w:t>(e) What about the feeder link delay? Is it considered anywhere?</w:t>
            </w:r>
          </w:p>
          <w:p w14:paraId="15F420FE" w14:textId="77777777" w:rsidR="00686606" w:rsidRPr="00686606" w:rsidRDefault="00686606" w:rsidP="00686606">
            <w:pPr>
              <w:pStyle w:val="Comments"/>
              <w:numPr>
                <w:ilvl w:val="0"/>
                <w:numId w:val="38"/>
              </w:numPr>
              <w:rPr>
                <w:rFonts w:ascii="Times New Roman" w:hAnsi="Times New Roman"/>
                <w:i w:val="0"/>
                <w:iCs/>
                <w:sz w:val="20"/>
                <w:szCs w:val="20"/>
              </w:rPr>
            </w:pPr>
            <w:r w:rsidRPr="00686606">
              <w:rPr>
                <w:rFonts w:ascii="Times New Roman" w:hAnsi="Times New Roman"/>
                <w:i w:val="0"/>
                <w:iCs/>
                <w:sz w:val="20"/>
                <w:szCs w:val="20"/>
              </w:rPr>
              <w:t>The configuration of one or multiple offsets is left up to the network implementation.</w:t>
            </w:r>
          </w:p>
          <w:p w14:paraId="1D586F08" w14:textId="77777777" w:rsidR="00686606" w:rsidRPr="00686606" w:rsidRDefault="00686606" w:rsidP="00686606">
            <w:pPr>
              <w:pStyle w:val="Comments"/>
              <w:numPr>
                <w:ilvl w:val="0"/>
                <w:numId w:val="38"/>
              </w:numPr>
              <w:rPr>
                <w:rFonts w:ascii="Times New Roman" w:hAnsi="Times New Roman"/>
                <w:i w:val="0"/>
                <w:iCs/>
                <w:sz w:val="20"/>
                <w:szCs w:val="20"/>
              </w:rPr>
            </w:pPr>
            <w:r w:rsidRPr="00686606">
              <w:rPr>
                <w:rFonts w:ascii="Times New Roman" w:hAnsi="Times New Roman"/>
                <w:i w:val="0"/>
                <w:iCs/>
                <w:sz w:val="20"/>
                <w:szCs w:val="20"/>
              </w:rPr>
              <w:t>It is up to network to update the SMTC configuration of the UE to accommodate the different propagation delays.</w:t>
            </w:r>
          </w:p>
          <w:p w14:paraId="2999C0CE" w14:textId="53A934B9" w:rsidR="00686606" w:rsidRPr="00686606" w:rsidRDefault="00686606" w:rsidP="00686606">
            <w:pPr>
              <w:pStyle w:val="Comments"/>
              <w:numPr>
                <w:ilvl w:val="0"/>
                <w:numId w:val="38"/>
              </w:numPr>
              <w:rPr>
                <w:rFonts w:ascii="Times New Roman" w:hAnsi="Times New Roman"/>
                <w:i w:val="0"/>
                <w:iCs/>
                <w:sz w:val="20"/>
                <w:szCs w:val="20"/>
              </w:rPr>
            </w:pPr>
            <w:r w:rsidRPr="00686606">
              <w:rPr>
                <w:rFonts w:ascii="Times New Roman" w:hAnsi="Times New Roman"/>
                <w:i w:val="0"/>
                <w:iCs/>
                <w:sz w:val="20"/>
                <w:szCs w:val="20"/>
              </w:rPr>
              <w:t>Measurement gaps enhancements should be supported. FFS on the details</w:t>
            </w:r>
            <w:r w:rsidRPr="00686606">
              <w:rPr>
                <w:rFonts w:ascii="Times New Roman" w:eastAsia="宋体" w:hAnsi="Times New Roman"/>
                <w:i w:val="0"/>
                <w:iCs/>
                <w:sz w:val="20"/>
                <w:szCs w:val="20"/>
                <w:lang w:eastAsia="zh-CN"/>
              </w:rPr>
              <w:t>.</w:t>
            </w:r>
          </w:p>
        </w:tc>
      </w:tr>
    </w:tbl>
    <w:p w14:paraId="53EE80B4" w14:textId="0D220724" w:rsidR="00686606" w:rsidRDefault="00C848CD" w:rsidP="00E02A35">
      <w:pPr>
        <w:rPr>
          <w:rFonts w:ascii="Times New Roman" w:hAnsi="Times New Roman"/>
          <w:sz w:val="20"/>
          <w:szCs w:val="20"/>
          <w:lang w:val="en-GB"/>
        </w:rPr>
      </w:pPr>
      <w:r w:rsidRPr="00686606">
        <w:rPr>
          <w:rFonts w:ascii="Times New Roman" w:hAnsi="Times New Roman"/>
          <w:sz w:val="20"/>
          <w:szCs w:val="20"/>
        </w:rPr>
        <w:lastRenderedPageBreak/>
        <w:t xml:space="preserve">The key for UE assistance is to </w:t>
      </w:r>
      <w:r>
        <w:rPr>
          <w:rFonts w:ascii="Times New Roman" w:hAnsi="Times New Roman"/>
          <w:sz w:val="20"/>
          <w:szCs w:val="20"/>
        </w:rPr>
        <w:t>provide</w:t>
      </w:r>
      <w:r w:rsidRPr="00686606">
        <w:rPr>
          <w:rFonts w:ascii="Times New Roman" w:hAnsi="Times New Roman"/>
          <w:sz w:val="20"/>
          <w:szCs w:val="20"/>
        </w:rPr>
        <w:t xml:space="preserve"> the serving</w:t>
      </w:r>
      <w:r>
        <w:rPr>
          <w:rFonts w:ascii="Times New Roman" w:hAnsi="Times New Roman"/>
          <w:sz w:val="20"/>
          <w:szCs w:val="20"/>
        </w:rPr>
        <w:t xml:space="preserve"> cell</w:t>
      </w:r>
      <w:r w:rsidRPr="00686606">
        <w:rPr>
          <w:rFonts w:ascii="Times New Roman" w:hAnsi="Times New Roman"/>
          <w:sz w:val="20"/>
          <w:szCs w:val="20"/>
        </w:rPr>
        <w:t xml:space="preserve"> </w:t>
      </w:r>
      <w:r>
        <w:rPr>
          <w:rFonts w:ascii="Times New Roman" w:hAnsi="Times New Roman"/>
          <w:sz w:val="20"/>
          <w:szCs w:val="20"/>
        </w:rPr>
        <w:t xml:space="preserve">with </w:t>
      </w:r>
      <w:r w:rsidR="00D72EC7">
        <w:rPr>
          <w:rFonts w:ascii="Times New Roman" w:hAnsi="Times New Roman"/>
          <w:sz w:val="20"/>
          <w:szCs w:val="20"/>
        </w:rPr>
        <w:t>information</w:t>
      </w:r>
      <w:r>
        <w:rPr>
          <w:rFonts w:ascii="Times New Roman" w:hAnsi="Times New Roman"/>
          <w:sz w:val="20"/>
          <w:szCs w:val="20"/>
        </w:rPr>
        <w:t xml:space="preserve"> of</w:t>
      </w:r>
      <w:r w:rsidRPr="00686606">
        <w:rPr>
          <w:rFonts w:ascii="Times New Roman" w:hAnsi="Times New Roman"/>
          <w:sz w:val="20"/>
          <w:szCs w:val="20"/>
        </w:rPr>
        <w:t xml:space="preserve"> </w:t>
      </w:r>
      <w:r>
        <w:rPr>
          <w:rFonts w:ascii="Times New Roman" w:hAnsi="Times New Roman"/>
          <w:sz w:val="20"/>
          <w:szCs w:val="20"/>
        </w:rPr>
        <w:t>the</w:t>
      </w:r>
      <w:r w:rsidRPr="00686606">
        <w:rPr>
          <w:rFonts w:ascii="Times New Roman" w:hAnsi="Times New Roman"/>
          <w:sz w:val="20"/>
          <w:szCs w:val="20"/>
        </w:rPr>
        <w:t xml:space="preserve"> propagation delay difference</w:t>
      </w:r>
      <w:r w:rsidR="005A029C">
        <w:rPr>
          <w:rFonts w:ascii="Times New Roman" w:hAnsi="Times New Roman"/>
          <w:sz w:val="20"/>
          <w:szCs w:val="20"/>
        </w:rPr>
        <w:t>(s)</w:t>
      </w:r>
      <w:r>
        <w:rPr>
          <w:rFonts w:ascii="Times New Roman" w:hAnsi="Times New Roman"/>
          <w:sz w:val="20"/>
          <w:szCs w:val="20"/>
        </w:rPr>
        <w:t xml:space="preserve">, which is the very reason of this issue. </w:t>
      </w:r>
      <w:r w:rsidR="00D72EC7">
        <w:rPr>
          <w:rFonts w:ascii="Times New Roman" w:hAnsi="Times New Roman"/>
          <w:sz w:val="20"/>
          <w:szCs w:val="20"/>
        </w:rPr>
        <w:t xml:space="preserve">A straight-forward way is to include the </w:t>
      </w:r>
      <w:r w:rsidR="00D72EC7" w:rsidRPr="00D72EC7">
        <w:rPr>
          <w:rFonts w:ascii="Times New Roman" w:hAnsi="Times New Roman"/>
          <w:sz w:val="20"/>
          <w:szCs w:val="20"/>
        </w:rPr>
        <w:t>propagation delay difference</w:t>
      </w:r>
      <w:r w:rsidR="005A029C">
        <w:rPr>
          <w:rFonts w:ascii="Times New Roman" w:hAnsi="Times New Roman"/>
          <w:sz w:val="20"/>
          <w:szCs w:val="20"/>
        </w:rPr>
        <w:t>(s)</w:t>
      </w:r>
      <w:r w:rsidR="00D72EC7">
        <w:rPr>
          <w:rFonts w:ascii="Times New Roman" w:hAnsi="Times New Roman"/>
          <w:sz w:val="20"/>
          <w:szCs w:val="20"/>
        </w:rPr>
        <w:t xml:space="preserve"> from the UE to its </w:t>
      </w:r>
      <w:r w:rsidR="00D72EC7" w:rsidRPr="00D72EC7">
        <w:rPr>
          <w:rFonts w:ascii="Times New Roman" w:hAnsi="Times New Roman"/>
          <w:sz w:val="20"/>
          <w:szCs w:val="20"/>
        </w:rPr>
        <w:t>serving and neighbor</w:t>
      </w:r>
      <w:r w:rsidR="00D72EC7">
        <w:rPr>
          <w:rFonts w:ascii="Times New Roman" w:hAnsi="Times New Roman"/>
          <w:sz w:val="20"/>
          <w:szCs w:val="20"/>
        </w:rPr>
        <w:t>ing</w:t>
      </w:r>
      <w:r w:rsidR="00D72EC7" w:rsidRPr="00D72EC7">
        <w:rPr>
          <w:rFonts w:ascii="Times New Roman" w:hAnsi="Times New Roman"/>
          <w:sz w:val="20"/>
          <w:szCs w:val="20"/>
        </w:rPr>
        <w:t xml:space="preserve"> </w:t>
      </w:r>
      <w:r w:rsidR="00D72EC7">
        <w:rPr>
          <w:rFonts w:ascii="Times New Roman" w:hAnsi="Times New Roman"/>
          <w:sz w:val="20"/>
          <w:szCs w:val="20"/>
        </w:rPr>
        <w:t>cell</w:t>
      </w:r>
      <w:r w:rsidR="005A029C">
        <w:rPr>
          <w:rFonts w:ascii="Times New Roman" w:hAnsi="Times New Roman"/>
          <w:sz w:val="20"/>
          <w:szCs w:val="20"/>
        </w:rPr>
        <w:t>(</w:t>
      </w:r>
      <w:r w:rsidR="00D72EC7">
        <w:rPr>
          <w:rFonts w:ascii="Times New Roman" w:hAnsi="Times New Roman"/>
          <w:sz w:val="20"/>
          <w:szCs w:val="20"/>
        </w:rPr>
        <w:t>s</w:t>
      </w:r>
      <w:r w:rsidR="005A029C">
        <w:rPr>
          <w:rFonts w:ascii="Times New Roman" w:hAnsi="Times New Roman"/>
          <w:sz w:val="20"/>
          <w:szCs w:val="20"/>
        </w:rPr>
        <w:t>)</w:t>
      </w:r>
      <w:r w:rsidR="00D72EC7">
        <w:rPr>
          <w:rFonts w:ascii="Times New Roman" w:hAnsi="Times New Roman"/>
          <w:sz w:val="20"/>
          <w:szCs w:val="20"/>
        </w:rPr>
        <w:t xml:space="preserve"> in UE assistance. Meanwhile considering the on-going discussion of TA reporting, an alternative is to include the </w:t>
      </w:r>
      <w:r w:rsidR="00D72EC7" w:rsidRPr="00D72EC7">
        <w:rPr>
          <w:rFonts w:ascii="Times New Roman" w:hAnsi="Times New Roman"/>
          <w:sz w:val="20"/>
          <w:szCs w:val="20"/>
        </w:rPr>
        <w:t>propagation delay</w:t>
      </w:r>
      <w:r w:rsidR="005A029C">
        <w:rPr>
          <w:rFonts w:ascii="Times New Roman" w:hAnsi="Times New Roman"/>
          <w:sz w:val="20"/>
          <w:szCs w:val="20"/>
        </w:rPr>
        <w:t>(s)</w:t>
      </w:r>
      <w:r w:rsidR="00D72EC7" w:rsidRPr="00D72EC7">
        <w:rPr>
          <w:rFonts w:ascii="Times New Roman" w:hAnsi="Times New Roman"/>
          <w:sz w:val="20"/>
          <w:szCs w:val="20"/>
        </w:rPr>
        <w:t xml:space="preserve"> </w:t>
      </w:r>
      <w:r w:rsidR="00D72EC7">
        <w:rPr>
          <w:rFonts w:ascii="Times New Roman" w:hAnsi="Times New Roman"/>
          <w:sz w:val="20"/>
          <w:szCs w:val="20"/>
        </w:rPr>
        <w:t xml:space="preserve">from the UE to its </w:t>
      </w:r>
      <w:r w:rsidR="00D72EC7" w:rsidRPr="00D72EC7">
        <w:rPr>
          <w:rFonts w:ascii="Times New Roman" w:hAnsi="Times New Roman"/>
          <w:sz w:val="20"/>
          <w:szCs w:val="20"/>
        </w:rPr>
        <w:t>neighbor</w:t>
      </w:r>
      <w:r w:rsidR="00D72EC7">
        <w:rPr>
          <w:rFonts w:ascii="Times New Roman" w:hAnsi="Times New Roman"/>
          <w:sz w:val="20"/>
          <w:szCs w:val="20"/>
        </w:rPr>
        <w:t>ing</w:t>
      </w:r>
      <w:r w:rsidR="00D72EC7" w:rsidRPr="00D72EC7">
        <w:rPr>
          <w:rFonts w:ascii="Times New Roman" w:hAnsi="Times New Roman"/>
          <w:sz w:val="20"/>
          <w:szCs w:val="20"/>
        </w:rPr>
        <w:t xml:space="preserve"> </w:t>
      </w:r>
      <w:r w:rsidR="00D72EC7">
        <w:rPr>
          <w:rFonts w:ascii="Times New Roman" w:hAnsi="Times New Roman"/>
          <w:sz w:val="20"/>
          <w:szCs w:val="20"/>
        </w:rPr>
        <w:t>cell</w:t>
      </w:r>
      <w:r w:rsidR="005A029C">
        <w:rPr>
          <w:rFonts w:ascii="Times New Roman" w:hAnsi="Times New Roman"/>
          <w:sz w:val="20"/>
          <w:szCs w:val="20"/>
        </w:rPr>
        <w:t>(</w:t>
      </w:r>
      <w:r w:rsidR="00D72EC7">
        <w:rPr>
          <w:rFonts w:ascii="Times New Roman" w:hAnsi="Times New Roman"/>
          <w:sz w:val="20"/>
          <w:szCs w:val="20"/>
        </w:rPr>
        <w:t>s</w:t>
      </w:r>
      <w:r w:rsidR="005A029C">
        <w:rPr>
          <w:rFonts w:ascii="Times New Roman" w:hAnsi="Times New Roman"/>
          <w:sz w:val="20"/>
          <w:szCs w:val="20"/>
        </w:rPr>
        <w:t>)</w:t>
      </w:r>
      <w:r w:rsidR="00D72EC7">
        <w:rPr>
          <w:rFonts w:ascii="Times New Roman" w:hAnsi="Times New Roman"/>
          <w:sz w:val="20"/>
          <w:szCs w:val="20"/>
        </w:rPr>
        <w:t xml:space="preserve"> in UE assistance, as the network can know the </w:t>
      </w:r>
      <w:r w:rsidR="00D72EC7" w:rsidRPr="00D72EC7">
        <w:rPr>
          <w:rFonts w:ascii="Times New Roman" w:hAnsi="Times New Roman"/>
          <w:sz w:val="20"/>
          <w:szCs w:val="20"/>
        </w:rPr>
        <w:t xml:space="preserve">propagation delay </w:t>
      </w:r>
      <w:r w:rsidR="00D72EC7">
        <w:rPr>
          <w:rFonts w:ascii="Times New Roman" w:hAnsi="Times New Roman"/>
          <w:sz w:val="20"/>
          <w:szCs w:val="20"/>
        </w:rPr>
        <w:t>from the UE to its serving</w:t>
      </w:r>
      <w:r w:rsidR="00D72EC7" w:rsidRPr="00D72EC7">
        <w:rPr>
          <w:rFonts w:ascii="Times New Roman" w:hAnsi="Times New Roman"/>
          <w:sz w:val="20"/>
          <w:szCs w:val="20"/>
        </w:rPr>
        <w:t xml:space="preserve"> </w:t>
      </w:r>
      <w:r w:rsidR="00D72EC7">
        <w:rPr>
          <w:rFonts w:ascii="Times New Roman" w:hAnsi="Times New Roman"/>
          <w:sz w:val="20"/>
          <w:szCs w:val="20"/>
        </w:rPr>
        <w:t>cell via the reported TA and TA adjustment.</w:t>
      </w:r>
      <w:r w:rsidR="005A029C">
        <w:rPr>
          <w:rFonts w:ascii="Times New Roman" w:hAnsi="Times New Roman"/>
          <w:sz w:val="20"/>
          <w:szCs w:val="20"/>
        </w:rPr>
        <w:t xml:space="preserve"> In general reporting the delay difference(s) requires less overhead than reporting the delay(s).</w:t>
      </w:r>
    </w:p>
    <w:p w14:paraId="5DDE01E1" w14:textId="0220C0FD" w:rsidR="00686606" w:rsidRPr="005A029C" w:rsidRDefault="00D72EC7" w:rsidP="00E02A35">
      <w:pPr>
        <w:rPr>
          <w:rFonts w:ascii="Times New Roman" w:hAnsi="Times New Roman"/>
          <w:b/>
          <w:bCs/>
          <w:sz w:val="20"/>
          <w:szCs w:val="20"/>
        </w:rPr>
      </w:pPr>
      <w:r w:rsidRPr="005A029C">
        <w:rPr>
          <w:rFonts w:ascii="Times New Roman" w:hAnsi="Times New Roman" w:hint="eastAsia"/>
          <w:b/>
          <w:bCs/>
          <w:sz w:val="20"/>
          <w:szCs w:val="20"/>
          <w:lang w:val="en-GB"/>
        </w:rPr>
        <w:t>O</w:t>
      </w:r>
      <w:r w:rsidRPr="005A029C">
        <w:rPr>
          <w:rFonts w:ascii="Times New Roman" w:hAnsi="Times New Roman"/>
          <w:b/>
          <w:bCs/>
          <w:sz w:val="20"/>
          <w:szCs w:val="20"/>
          <w:lang w:val="en-GB"/>
        </w:rPr>
        <w:t xml:space="preserve">bservation 1: UE assistance providing </w:t>
      </w:r>
      <w:r w:rsidRPr="005A029C">
        <w:rPr>
          <w:rFonts w:ascii="Times New Roman" w:hAnsi="Times New Roman"/>
          <w:b/>
          <w:bCs/>
          <w:sz w:val="20"/>
          <w:szCs w:val="20"/>
        </w:rPr>
        <w:t xml:space="preserve">information of the propagation delay difference </w:t>
      </w:r>
      <w:r w:rsidR="005A029C" w:rsidRPr="005A029C">
        <w:rPr>
          <w:rFonts w:ascii="Times New Roman" w:hAnsi="Times New Roman"/>
          <w:b/>
          <w:bCs/>
          <w:sz w:val="20"/>
          <w:szCs w:val="20"/>
        </w:rPr>
        <w:t>can help in measurement gap and</w:t>
      </w:r>
      <w:r w:rsidR="005A029C">
        <w:rPr>
          <w:rFonts w:ascii="Times New Roman" w:hAnsi="Times New Roman"/>
          <w:b/>
          <w:bCs/>
          <w:sz w:val="20"/>
          <w:szCs w:val="20"/>
        </w:rPr>
        <w:t>/or</w:t>
      </w:r>
      <w:r w:rsidR="005A029C" w:rsidRPr="005A029C">
        <w:rPr>
          <w:rFonts w:ascii="Times New Roman" w:hAnsi="Times New Roman"/>
          <w:b/>
          <w:bCs/>
          <w:sz w:val="20"/>
          <w:szCs w:val="20"/>
        </w:rPr>
        <w:t xml:space="preserve"> SMTC configuration.</w:t>
      </w:r>
    </w:p>
    <w:p w14:paraId="0BA96A22" w14:textId="109D692B" w:rsidR="005A029C" w:rsidRPr="005A029C" w:rsidRDefault="005A029C" w:rsidP="00E02A35">
      <w:pPr>
        <w:rPr>
          <w:rFonts w:ascii="Times New Roman" w:hAnsi="Times New Roman"/>
          <w:b/>
          <w:bCs/>
          <w:sz w:val="20"/>
          <w:szCs w:val="20"/>
        </w:rPr>
      </w:pPr>
      <w:r w:rsidRPr="005A029C">
        <w:rPr>
          <w:rFonts w:ascii="Times New Roman" w:hAnsi="Times New Roman" w:hint="eastAsia"/>
          <w:b/>
          <w:bCs/>
          <w:sz w:val="20"/>
          <w:szCs w:val="20"/>
        </w:rPr>
        <w:t>P</w:t>
      </w:r>
      <w:r w:rsidRPr="005A029C">
        <w:rPr>
          <w:rFonts w:ascii="Times New Roman" w:hAnsi="Times New Roman"/>
          <w:b/>
          <w:bCs/>
          <w:sz w:val="20"/>
          <w:szCs w:val="20"/>
        </w:rPr>
        <w:t>roposal 1: RAN2 to consider including the propagation delay difference from the UE to its serving and neighboring cells in UE assistance</w:t>
      </w:r>
      <w:r>
        <w:rPr>
          <w:rFonts w:ascii="Times New Roman" w:hAnsi="Times New Roman"/>
          <w:b/>
          <w:bCs/>
          <w:sz w:val="20"/>
          <w:szCs w:val="20"/>
        </w:rPr>
        <w:t xml:space="preserve"> for </w:t>
      </w:r>
      <w:r w:rsidRPr="005A029C">
        <w:rPr>
          <w:rFonts w:ascii="Times New Roman" w:hAnsi="Times New Roman"/>
          <w:b/>
          <w:bCs/>
          <w:sz w:val="20"/>
          <w:szCs w:val="20"/>
        </w:rPr>
        <w:t>measurement gap and</w:t>
      </w:r>
      <w:r>
        <w:rPr>
          <w:rFonts w:ascii="Times New Roman" w:hAnsi="Times New Roman"/>
          <w:b/>
          <w:bCs/>
          <w:sz w:val="20"/>
          <w:szCs w:val="20"/>
        </w:rPr>
        <w:t>/or</w:t>
      </w:r>
      <w:r w:rsidRPr="005A029C">
        <w:rPr>
          <w:rFonts w:ascii="Times New Roman" w:hAnsi="Times New Roman"/>
          <w:b/>
          <w:bCs/>
          <w:sz w:val="20"/>
          <w:szCs w:val="20"/>
        </w:rPr>
        <w:t xml:space="preserve"> SMTC configuration, or the propagation delay from the UE to its neighboring cells if TA report is agreed.</w:t>
      </w:r>
    </w:p>
    <w:p w14:paraId="6D550771" w14:textId="6438B7EF" w:rsidR="005A029C" w:rsidRDefault="00A17021" w:rsidP="00E02A35">
      <w:pPr>
        <w:rPr>
          <w:rFonts w:ascii="Times New Roman" w:hAnsi="Times New Roman"/>
          <w:sz w:val="20"/>
          <w:szCs w:val="20"/>
          <w:lang w:val="en-GB"/>
        </w:rPr>
      </w:pPr>
      <w:r>
        <w:rPr>
          <w:rFonts w:ascii="Times New Roman" w:hAnsi="Times New Roman"/>
          <w:sz w:val="20"/>
          <w:szCs w:val="20"/>
          <w:lang w:val="en-GB"/>
        </w:rPr>
        <w:t>To</w:t>
      </w:r>
      <w:r w:rsidRPr="00A17021">
        <w:t xml:space="preserve"> </w:t>
      </w:r>
      <w:r w:rsidRPr="00A17021">
        <w:rPr>
          <w:rFonts w:ascii="Times New Roman" w:hAnsi="Times New Roman"/>
          <w:sz w:val="20"/>
          <w:szCs w:val="20"/>
          <w:lang w:val="en-GB"/>
        </w:rPr>
        <w:t xml:space="preserve">properly (re)configure measurement gap </w:t>
      </w:r>
      <w:r>
        <w:rPr>
          <w:rFonts w:ascii="Times New Roman" w:hAnsi="Times New Roman"/>
          <w:sz w:val="20"/>
          <w:szCs w:val="20"/>
          <w:lang w:val="en-GB"/>
        </w:rPr>
        <w:t>and</w:t>
      </w:r>
      <w:r w:rsidRPr="00A17021">
        <w:rPr>
          <w:rFonts w:ascii="Times New Roman" w:hAnsi="Times New Roman"/>
          <w:sz w:val="20"/>
          <w:szCs w:val="20"/>
          <w:lang w:val="en-GB"/>
        </w:rPr>
        <w:t xml:space="preserve"> SMTC</w:t>
      </w:r>
      <w:r>
        <w:rPr>
          <w:rFonts w:ascii="Times New Roman" w:hAnsi="Times New Roman"/>
          <w:sz w:val="20"/>
          <w:szCs w:val="20"/>
          <w:lang w:val="en-GB"/>
        </w:rPr>
        <w:t>, t</w:t>
      </w:r>
      <w:r w:rsidR="005A029C">
        <w:rPr>
          <w:rFonts w:ascii="Times New Roman" w:hAnsi="Times New Roman"/>
          <w:sz w:val="20"/>
          <w:szCs w:val="20"/>
          <w:lang w:val="en-GB"/>
        </w:rPr>
        <w:t>he following elements could be considered:</w:t>
      </w:r>
    </w:p>
    <w:p w14:paraId="7589668E" w14:textId="06DE4790" w:rsidR="005A029C" w:rsidRPr="00A17021" w:rsidRDefault="005A029C" w:rsidP="00971082">
      <w:pPr>
        <w:pStyle w:val="a6"/>
        <w:numPr>
          <w:ilvl w:val="0"/>
          <w:numId w:val="39"/>
        </w:numPr>
        <w:spacing w:after="0"/>
        <w:ind w:left="709" w:firstLineChars="0"/>
      </w:pPr>
      <w:r w:rsidRPr="00A17021">
        <w:t>The propagation delay from UE to its serving satellite (service link</w:t>
      </w:r>
      <w:r w:rsidR="00A17021" w:rsidRPr="00A17021">
        <w:t xml:space="preserve"> 1</w:t>
      </w:r>
      <w:proofErr w:type="gramStart"/>
      <w:r w:rsidRPr="00A17021">
        <w:t>);</w:t>
      </w:r>
      <w:proofErr w:type="gramEnd"/>
    </w:p>
    <w:p w14:paraId="029A96B7" w14:textId="6860458B" w:rsidR="005A029C" w:rsidRPr="00A17021" w:rsidRDefault="005A029C" w:rsidP="00971082">
      <w:pPr>
        <w:pStyle w:val="a6"/>
        <w:numPr>
          <w:ilvl w:val="0"/>
          <w:numId w:val="39"/>
        </w:numPr>
        <w:spacing w:after="0"/>
        <w:ind w:left="709" w:firstLineChars="0"/>
      </w:pPr>
      <w:r w:rsidRPr="00A17021">
        <w:t>The propagation delay from UE to its neighboring satellite (service link</w:t>
      </w:r>
      <w:r w:rsidR="00A17021" w:rsidRPr="00A17021">
        <w:t xml:space="preserve"> 2</w:t>
      </w:r>
      <w:proofErr w:type="gramStart"/>
      <w:r w:rsidRPr="00A17021">
        <w:t>);</w:t>
      </w:r>
      <w:proofErr w:type="gramEnd"/>
    </w:p>
    <w:p w14:paraId="5058CACC" w14:textId="30FA7BBF" w:rsidR="00A17021" w:rsidRPr="00A17021" w:rsidRDefault="00A17021" w:rsidP="00971082">
      <w:pPr>
        <w:pStyle w:val="a6"/>
        <w:numPr>
          <w:ilvl w:val="0"/>
          <w:numId w:val="39"/>
        </w:numPr>
        <w:spacing w:after="0"/>
        <w:ind w:left="709" w:firstLineChars="0"/>
      </w:pPr>
      <w:r w:rsidRPr="00A17021">
        <w:t>The propagation delay from serving satellite to serving gNB (feeder link 1</w:t>
      </w:r>
      <w:proofErr w:type="gramStart"/>
      <w:r w:rsidRPr="00A17021">
        <w:t>);</w:t>
      </w:r>
      <w:proofErr w:type="gramEnd"/>
    </w:p>
    <w:p w14:paraId="146A192C" w14:textId="51015574" w:rsidR="00A17021" w:rsidRPr="00A17021" w:rsidRDefault="00A17021" w:rsidP="00971082">
      <w:pPr>
        <w:pStyle w:val="a6"/>
        <w:numPr>
          <w:ilvl w:val="0"/>
          <w:numId w:val="39"/>
        </w:numPr>
        <w:spacing w:after="0"/>
        <w:ind w:left="709" w:firstLineChars="0"/>
      </w:pPr>
      <w:r w:rsidRPr="00A17021">
        <w:t>The propagation delay from neighboring satellite to neighboring gNB (feeder link 2).</w:t>
      </w:r>
    </w:p>
    <w:p w14:paraId="7D8F629A" w14:textId="7EAF4042" w:rsidR="00A17021" w:rsidRDefault="00A17021" w:rsidP="00E02A35">
      <w:pPr>
        <w:rPr>
          <w:rFonts w:ascii="Times New Roman" w:hAnsi="Times New Roman"/>
          <w:sz w:val="20"/>
          <w:szCs w:val="20"/>
          <w:lang w:val="en-GB"/>
        </w:rPr>
      </w:pPr>
      <w:r>
        <w:rPr>
          <w:rFonts w:ascii="Times New Roman" w:hAnsi="Times New Roman"/>
          <w:sz w:val="20"/>
          <w:szCs w:val="20"/>
          <w:lang w:val="en-GB"/>
        </w:rPr>
        <w:t xml:space="preserve">Note that the </w:t>
      </w:r>
      <w:r w:rsidR="00971082">
        <w:rPr>
          <w:rFonts w:ascii="Times New Roman" w:hAnsi="Times New Roman"/>
          <w:sz w:val="20"/>
          <w:szCs w:val="20"/>
          <w:lang w:val="en-GB"/>
        </w:rPr>
        <w:t>total</w:t>
      </w:r>
      <w:r>
        <w:rPr>
          <w:rFonts w:ascii="Times New Roman" w:hAnsi="Times New Roman"/>
          <w:sz w:val="20"/>
          <w:szCs w:val="20"/>
          <w:lang w:val="en-GB"/>
        </w:rPr>
        <w:t xml:space="preserve"> </w:t>
      </w:r>
      <w:r w:rsidRPr="00D72EC7">
        <w:rPr>
          <w:rFonts w:ascii="Times New Roman" w:hAnsi="Times New Roman"/>
          <w:sz w:val="20"/>
          <w:szCs w:val="20"/>
        </w:rPr>
        <w:t>propagation delay difference</w:t>
      </w:r>
      <w:r>
        <w:rPr>
          <w:rFonts w:ascii="Times New Roman" w:hAnsi="Times New Roman"/>
          <w:sz w:val="20"/>
          <w:szCs w:val="20"/>
        </w:rPr>
        <w:t xml:space="preserve"> from the UE to its </w:t>
      </w:r>
      <w:r w:rsidRPr="00D72EC7">
        <w:rPr>
          <w:rFonts w:ascii="Times New Roman" w:hAnsi="Times New Roman"/>
          <w:sz w:val="20"/>
          <w:szCs w:val="20"/>
        </w:rPr>
        <w:t xml:space="preserve">serving </w:t>
      </w:r>
      <w:r>
        <w:rPr>
          <w:rFonts w:ascii="Times New Roman" w:hAnsi="Times New Roman"/>
          <w:sz w:val="20"/>
          <w:szCs w:val="20"/>
        </w:rPr>
        <w:t xml:space="preserve">cell </w:t>
      </w:r>
      <w:r w:rsidRPr="00D72EC7">
        <w:rPr>
          <w:rFonts w:ascii="Times New Roman" w:hAnsi="Times New Roman"/>
          <w:sz w:val="20"/>
          <w:szCs w:val="20"/>
        </w:rPr>
        <w:t>and neighbor</w:t>
      </w:r>
      <w:r>
        <w:rPr>
          <w:rFonts w:ascii="Times New Roman" w:hAnsi="Times New Roman"/>
          <w:sz w:val="20"/>
          <w:szCs w:val="20"/>
        </w:rPr>
        <w:t>ing</w:t>
      </w:r>
      <w:r w:rsidRPr="00D72EC7">
        <w:rPr>
          <w:rFonts w:ascii="Times New Roman" w:hAnsi="Times New Roman"/>
          <w:sz w:val="20"/>
          <w:szCs w:val="20"/>
        </w:rPr>
        <w:t xml:space="preserve"> </w:t>
      </w:r>
      <w:r>
        <w:rPr>
          <w:rFonts w:ascii="Times New Roman" w:hAnsi="Times New Roman"/>
          <w:sz w:val="20"/>
          <w:szCs w:val="20"/>
        </w:rPr>
        <w:t>cell should be (1)-(2)</w:t>
      </w:r>
      <w:r w:rsidRPr="00A17021">
        <w:rPr>
          <w:rFonts w:ascii="Times New Roman" w:hAnsi="Times New Roman"/>
          <w:sz w:val="20"/>
          <w:szCs w:val="20"/>
        </w:rPr>
        <w:t xml:space="preserve"> </w:t>
      </w:r>
      <w:r>
        <w:rPr>
          <w:rFonts w:ascii="Times New Roman" w:hAnsi="Times New Roman"/>
          <w:sz w:val="20"/>
          <w:szCs w:val="20"/>
        </w:rPr>
        <w:t>+(3)-(4).</w:t>
      </w:r>
    </w:p>
    <w:p w14:paraId="3B382419" w14:textId="49E05801" w:rsidR="00A17021" w:rsidRDefault="00A17021" w:rsidP="00E02A35">
      <w:pPr>
        <w:rPr>
          <w:rFonts w:ascii="Times New Roman" w:hAnsi="Times New Roman"/>
          <w:sz w:val="20"/>
          <w:szCs w:val="20"/>
          <w:lang w:val="en-GB"/>
        </w:rPr>
      </w:pPr>
      <w:r>
        <w:rPr>
          <w:rFonts w:ascii="Times New Roman" w:hAnsi="Times New Roman" w:hint="eastAsia"/>
          <w:sz w:val="20"/>
          <w:szCs w:val="20"/>
          <w:lang w:val="en-GB"/>
        </w:rPr>
        <w:t>A</w:t>
      </w:r>
      <w:r>
        <w:rPr>
          <w:rFonts w:ascii="Times New Roman" w:hAnsi="Times New Roman"/>
          <w:sz w:val="20"/>
          <w:szCs w:val="20"/>
          <w:lang w:val="en-GB"/>
        </w:rPr>
        <w:t>s GNSS capability is assumed for UE and satellite ephemeris (both serving and neighboring) provision is agreed, (1) and (2) can be derived by UE. As discussed above, UE can report the result of (1)-(2) or just (2) is network knows (1) e.g. via TA reporting. (3) and (4) are only relevant to network deployment</w:t>
      </w:r>
      <w:r w:rsidR="008D0DA2">
        <w:rPr>
          <w:rFonts w:ascii="Times New Roman" w:hAnsi="Times New Roman"/>
          <w:sz w:val="20"/>
          <w:szCs w:val="20"/>
          <w:lang w:val="en-GB"/>
        </w:rPr>
        <w:t xml:space="preserve"> so that serving cell can know (3)-(4) by network implementation.</w:t>
      </w:r>
    </w:p>
    <w:p w14:paraId="3E9CF97A" w14:textId="3181DFAD" w:rsidR="008D0DA2" w:rsidRPr="008D0DA2" w:rsidRDefault="008D0DA2" w:rsidP="00E02A35">
      <w:pPr>
        <w:rPr>
          <w:rFonts w:ascii="Times New Roman" w:hAnsi="Times New Roman"/>
          <w:b/>
          <w:bCs/>
          <w:sz w:val="20"/>
          <w:szCs w:val="20"/>
          <w:lang w:val="en-GB"/>
        </w:rPr>
      </w:pPr>
      <w:r w:rsidRPr="008D0DA2">
        <w:rPr>
          <w:rFonts w:ascii="Times New Roman" w:hAnsi="Times New Roman" w:hint="eastAsia"/>
          <w:b/>
          <w:bCs/>
          <w:sz w:val="20"/>
          <w:szCs w:val="20"/>
          <w:lang w:val="en-GB"/>
        </w:rPr>
        <w:t>O</w:t>
      </w:r>
      <w:r w:rsidRPr="008D0DA2">
        <w:rPr>
          <w:rFonts w:ascii="Times New Roman" w:hAnsi="Times New Roman"/>
          <w:b/>
          <w:bCs/>
          <w:sz w:val="20"/>
          <w:szCs w:val="20"/>
          <w:lang w:val="en-GB"/>
        </w:rPr>
        <w:t>bservation 2: Information of propagation delay difference between service links need to be provided to network by UE assistance.</w:t>
      </w:r>
    </w:p>
    <w:p w14:paraId="5E6EBBE6" w14:textId="64A9C94D" w:rsidR="008D0DA2" w:rsidRPr="008D0DA2" w:rsidRDefault="008D0DA2" w:rsidP="00E02A35">
      <w:pPr>
        <w:rPr>
          <w:rFonts w:ascii="Times New Roman" w:hAnsi="Times New Roman"/>
          <w:b/>
          <w:bCs/>
          <w:sz w:val="20"/>
          <w:szCs w:val="20"/>
          <w:lang w:val="en-GB"/>
        </w:rPr>
      </w:pPr>
      <w:r w:rsidRPr="008D0DA2">
        <w:rPr>
          <w:rFonts w:ascii="Times New Roman" w:hAnsi="Times New Roman" w:hint="eastAsia"/>
          <w:b/>
          <w:bCs/>
          <w:sz w:val="20"/>
          <w:szCs w:val="20"/>
          <w:lang w:val="en-GB"/>
        </w:rPr>
        <w:t>O</w:t>
      </w:r>
      <w:r w:rsidRPr="008D0DA2">
        <w:rPr>
          <w:rFonts w:ascii="Times New Roman" w:hAnsi="Times New Roman"/>
          <w:b/>
          <w:bCs/>
          <w:sz w:val="20"/>
          <w:szCs w:val="20"/>
          <w:lang w:val="en-GB"/>
        </w:rPr>
        <w:t>bservation 3: Information of propagation delay difference between feeder links can be obtained by network implementation.</w:t>
      </w:r>
    </w:p>
    <w:p w14:paraId="5BA4C176" w14:textId="33E095D2" w:rsidR="00A17021" w:rsidRPr="008D0DA2" w:rsidRDefault="008D0DA2" w:rsidP="00E02A35">
      <w:pPr>
        <w:rPr>
          <w:rFonts w:ascii="Times New Roman" w:hAnsi="Times New Roman"/>
          <w:b/>
          <w:bCs/>
          <w:sz w:val="20"/>
          <w:szCs w:val="20"/>
          <w:lang w:val="en-GB"/>
        </w:rPr>
      </w:pPr>
      <w:r w:rsidRPr="008D0DA2">
        <w:rPr>
          <w:rFonts w:ascii="Times New Roman" w:hAnsi="Times New Roman" w:hint="eastAsia"/>
          <w:b/>
          <w:bCs/>
          <w:sz w:val="20"/>
          <w:szCs w:val="20"/>
          <w:lang w:val="en-GB"/>
        </w:rPr>
        <w:t>P</w:t>
      </w:r>
      <w:r w:rsidRPr="008D0DA2">
        <w:rPr>
          <w:rFonts w:ascii="Times New Roman" w:hAnsi="Times New Roman"/>
          <w:b/>
          <w:bCs/>
          <w:sz w:val="20"/>
          <w:szCs w:val="20"/>
          <w:lang w:val="en-GB"/>
        </w:rPr>
        <w:t>roposal 2: If Proposal 1 is agreed, the propagation delay difference(s) or delay(s) included in UE assistance are associated with the service links (i.e. UE to satellites)</w:t>
      </w:r>
      <w:r>
        <w:rPr>
          <w:rFonts w:ascii="Times New Roman" w:hAnsi="Times New Roman"/>
          <w:b/>
          <w:bCs/>
          <w:sz w:val="20"/>
          <w:szCs w:val="20"/>
          <w:lang w:val="en-GB"/>
        </w:rPr>
        <w:t>.</w:t>
      </w:r>
    </w:p>
    <w:p w14:paraId="42DF0307" w14:textId="16857278" w:rsidR="00686606" w:rsidRDefault="008D0DA2" w:rsidP="00E02A35">
      <w:pPr>
        <w:rPr>
          <w:rFonts w:ascii="Times New Roman" w:hAnsi="Times New Roman"/>
          <w:sz w:val="20"/>
          <w:szCs w:val="20"/>
          <w:lang w:val="en-GB"/>
        </w:rPr>
      </w:pPr>
      <w:r>
        <w:rPr>
          <w:rFonts w:ascii="Times New Roman" w:hAnsi="Times New Roman" w:hint="eastAsia"/>
          <w:sz w:val="20"/>
          <w:szCs w:val="20"/>
          <w:lang w:val="en-GB"/>
        </w:rPr>
        <w:t>D</w:t>
      </w:r>
      <w:r>
        <w:rPr>
          <w:rFonts w:ascii="Times New Roman" w:hAnsi="Times New Roman"/>
          <w:sz w:val="20"/>
          <w:szCs w:val="20"/>
          <w:lang w:val="en-GB"/>
        </w:rPr>
        <w:t xml:space="preserve">uring the previous discussions another option of UE assistance is proposed as UE location reporting. Considering that </w:t>
      </w:r>
      <w:r w:rsidR="00686606" w:rsidRPr="00686606">
        <w:rPr>
          <w:rFonts w:ascii="Times New Roman" w:hAnsi="Times New Roman"/>
          <w:sz w:val="20"/>
          <w:szCs w:val="20"/>
          <w:lang w:val="en-GB"/>
        </w:rPr>
        <w:t xml:space="preserve">UE location </w:t>
      </w:r>
      <w:r w:rsidRPr="00686606">
        <w:rPr>
          <w:rFonts w:ascii="Times New Roman" w:hAnsi="Times New Roman"/>
          <w:sz w:val="20"/>
          <w:szCs w:val="20"/>
          <w:lang w:val="en-GB"/>
        </w:rPr>
        <w:t>info</w:t>
      </w:r>
      <w:r>
        <w:rPr>
          <w:rFonts w:ascii="Times New Roman" w:hAnsi="Times New Roman"/>
          <w:sz w:val="20"/>
          <w:szCs w:val="20"/>
          <w:lang w:val="en-GB"/>
        </w:rPr>
        <w:t>rmation</w:t>
      </w:r>
      <w:r w:rsidR="00686606" w:rsidRPr="00686606">
        <w:rPr>
          <w:rFonts w:ascii="Times New Roman" w:hAnsi="Times New Roman"/>
          <w:sz w:val="20"/>
          <w:szCs w:val="20"/>
          <w:lang w:val="en-GB"/>
        </w:rPr>
        <w:t xml:space="preserve"> is not always available</w:t>
      </w:r>
      <w:r>
        <w:rPr>
          <w:rFonts w:ascii="Times New Roman" w:hAnsi="Times New Roman"/>
          <w:sz w:val="20"/>
          <w:szCs w:val="20"/>
          <w:lang w:val="en-GB"/>
        </w:rPr>
        <w:t xml:space="preserve"> due to</w:t>
      </w:r>
      <w:r w:rsidR="00686606" w:rsidRPr="00686606">
        <w:rPr>
          <w:rFonts w:ascii="Times New Roman" w:hAnsi="Times New Roman"/>
          <w:sz w:val="20"/>
          <w:szCs w:val="20"/>
          <w:lang w:val="en-GB"/>
        </w:rPr>
        <w:t xml:space="preserve"> privacy </w:t>
      </w:r>
      <w:r>
        <w:rPr>
          <w:rFonts w:ascii="Times New Roman" w:hAnsi="Times New Roman"/>
          <w:sz w:val="20"/>
          <w:szCs w:val="20"/>
          <w:lang w:val="en-GB"/>
        </w:rPr>
        <w:t>risks</w:t>
      </w:r>
      <w:r w:rsidR="00686606" w:rsidRPr="00686606">
        <w:rPr>
          <w:rFonts w:ascii="Times New Roman" w:hAnsi="Times New Roman"/>
          <w:sz w:val="20"/>
          <w:szCs w:val="20"/>
          <w:lang w:val="en-GB"/>
        </w:rPr>
        <w:t xml:space="preserve"> </w:t>
      </w:r>
      <w:r>
        <w:rPr>
          <w:rFonts w:ascii="Times New Roman" w:hAnsi="Times New Roman"/>
          <w:sz w:val="20"/>
          <w:szCs w:val="20"/>
          <w:lang w:val="en-GB"/>
        </w:rPr>
        <w:t xml:space="preserve">or </w:t>
      </w:r>
      <w:r w:rsidR="00686606" w:rsidRPr="00686606">
        <w:rPr>
          <w:rFonts w:ascii="Times New Roman" w:hAnsi="Times New Roman"/>
          <w:sz w:val="20"/>
          <w:szCs w:val="20"/>
          <w:lang w:val="en-GB"/>
        </w:rPr>
        <w:t>UE</w:t>
      </w:r>
      <w:r>
        <w:rPr>
          <w:rFonts w:ascii="Times New Roman" w:hAnsi="Times New Roman"/>
          <w:sz w:val="20"/>
          <w:szCs w:val="20"/>
          <w:lang w:val="en-GB"/>
        </w:rPr>
        <w:t>’s</w:t>
      </w:r>
      <w:r w:rsidR="00686606" w:rsidRPr="00686606">
        <w:rPr>
          <w:rFonts w:ascii="Times New Roman" w:hAnsi="Times New Roman"/>
          <w:sz w:val="20"/>
          <w:szCs w:val="20"/>
          <w:lang w:val="en-GB"/>
        </w:rPr>
        <w:t xml:space="preserve"> allowance</w:t>
      </w:r>
      <w:r>
        <w:rPr>
          <w:rFonts w:ascii="Times New Roman" w:hAnsi="Times New Roman"/>
          <w:sz w:val="20"/>
          <w:szCs w:val="20"/>
          <w:lang w:val="en-GB"/>
        </w:rPr>
        <w:t>,</w:t>
      </w:r>
      <w:r w:rsidR="00686606" w:rsidRPr="00686606">
        <w:rPr>
          <w:rFonts w:ascii="Times New Roman" w:hAnsi="Times New Roman"/>
          <w:sz w:val="20"/>
          <w:szCs w:val="20"/>
          <w:lang w:val="en-GB"/>
        </w:rPr>
        <w:t xml:space="preserve"> </w:t>
      </w:r>
      <w:r>
        <w:rPr>
          <w:rFonts w:ascii="Times New Roman" w:hAnsi="Times New Roman"/>
          <w:sz w:val="20"/>
          <w:szCs w:val="20"/>
          <w:lang w:val="en-GB"/>
        </w:rPr>
        <w:t>it</w:t>
      </w:r>
      <w:r w:rsidR="00686606" w:rsidRPr="00686606">
        <w:rPr>
          <w:rFonts w:ascii="Times New Roman" w:hAnsi="Times New Roman"/>
          <w:sz w:val="20"/>
          <w:szCs w:val="20"/>
          <w:lang w:val="en-GB"/>
        </w:rPr>
        <w:t xml:space="preserve"> can be replaced by </w:t>
      </w:r>
      <w:r w:rsidR="00971082">
        <w:rPr>
          <w:rFonts w:ascii="Times New Roman" w:hAnsi="Times New Roman"/>
          <w:sz w:val="20"/>
          <w:szCs w:val="20"/>
          <w:lang w:val="en-GB"/>
        </w:rPr>
        <w:t xml:space="preserve">the propagation </w:t>
      </w:r>
      <w:r w:rsidR="00686606" w:rsidRPr="00686606">
        <w:rPr>
          <w:rFonts w:ascii="Times New Roman" w:hAnsi="Times New Roman"/>
          <w:sz w:val="20"/>
          <w:szCs w:val="20"/>
          <w:lang w:val="en-GB"/>
        </w:rPr>
        <w:t>delay difference</w:t>
      </w:r>
      <w:r w:rsidR="00971082">
        <w:rPr>
          <w:rFonts w:ascii="Times New Roman" w:hAnsi="Times New Roman"/>
          <w:sz w:val="20"/>
          <w:szCs w:val="20"/>
          <w:lang w:val="en-GB"/>
        </w:rPr>
        <w:t xml:space="preserve">, which is less sensitive and can be directly used by network for </w:t>
      </w:r>
      <w:r w:rsidR="00971082" w:rsidRPr="00A17021">
        <w:rPr>
          <w:rFonts w:ascii="Times New Roman" w:hAnsi="Times New Roman"/>
          <w:sz w:val="20"/>
          <w:szCs w:val="20"/>
          <w:lang w:val="en-GB"/>
        </w:rPr>
        <w:t xml:space="preserve">measurement gap </w:t>
      </w:r>
      <w:r w:rsidR="00971082">
        <w:rPr>
          <w:rFonts w:ascii="Times New Roman" w:hAnsi="Times New Roman"/>
          <w:sz w:val="20"/>
          <w:szCs w:val="20"/>
          <w:lang w:val="en-GB"/>
        </w:rPr>
        <w:t>and</w:t>
      </w:r>
      <w:r w:rsidR="00971082" w:rsidRPr="00A17021">
        <w:rPr>
          <w:rFonts w:ascii="Times New Roman" w:hAnsi="Times New Roman"/>
          <w:sz w:val="20"/>
          <w:szCs w:val="20"/>
          <w:lang w:val="en-GB"/>
        </w:rPr>
        <w:t xml:space="preserve"> SMTC</w:t>
      </w:r>
      <w:r w:rsidR="00971082">
        <w:rPr>
          <w:rFonts w:ascii="Times New Roman" w:hAnsi="Times New Roman"/>
          <w:sz w:val="20"/>
          <w:szCs w:val="20"/>
          <w:lang w:val="en-GB"/>
        </w:rPr>
        <w:t xml:space="preserve"> configuration.</w:t>
      </w:r>
    </w:p>
    <w:p w14:paraId="7D654358" w14:textId="67131EBC" w:rsidR="00686606" w:rsidRPr="00971082" w:rsidRDefault="00971082" w:rsidP="008C57E6">
      <w:pPr>
        <w:rPr>
          <w:rFonts w:ascii="Times New Roman" w:hAnsi="Times New Roman"/>
          <w:b/>
          <w:bCs/>
          <w:sz w:val="20"/>
          <w:szCs w:val="20"/>
        </w:rPr>
      </w:pPr>
      <w:r w:rsidRPr="00971082">
        <w:rPr>
          <w:rFonts w:ascii="Times New Roman" w:hAnsi="Times New Roman" w:hint="eastAsia"/>
          <w:b/>
          <w:bCs/>
          <w:sz w:val="20"/>
          <w:szCs w:val="20"/>
        </w:rPr>
        <w:t>P</w:t>
      </w:r>
      <w:r w:rsidRPr="00971082">
        <w:rPr>
          <w:rFonts w:ascii="Times New Roman" w:hAnsi="Times New Roman"/>
          <w:b/>
          <w:bCs/>
          <w:sz w:val="20"/>
          <w:szCs w:val="20"/>
        </w:rPr>
        <w:t>roposal 3: If Proposal 1 is agreed, no need to introduce UE location reporting for the same issue.</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6E4DA199" w:rsidR="00A90536" w:rsidRDefault="00A90536" w:rsidP="00513357">
      <w:pPr>
        <w:spacing w:afterLines="50" w:after="156"/>
        <w:rPr>
          <w:rFonts w:ascii="Times New Roman" w:hAnsi="Times New Roman"/>
          <w:sz w:val="20"/>
          <w:szCs w:val="20"/>
        </w:rPr>
      </w:pPr>
      <w:r w:rsidRPr="00EB5C86">
        <w:rPr>
          <w:rFonts w:ascii="Times New Roman" w:hAnsi="Times New Roman"/>
          <w:sz w:val="20"/>
          <w:szCs w:val="20"/>
        </w:rPr>
        <w:t xml:space="preserve">In this contribution, </w:t>
      </w:r>
      <w:r w:rsidR="00632713">
        <w:rPr>
          <w:rFonts w:ascii="Times New Roman" w:hAnsi="Times New Roman"/>
          <w:sz w:val="20"/>
          <w:szCs w:val="20"/>
        </w:rPr>
        <w:t xml:space="preserve">we discuss </w:t>
      </w:r>
      <w:r w:rsidR="00971082">
        <w:rPr>
          <w:rFonts w:ascii="Times New Roman" w:hAnsi="Times New Roman"/>
          <w:sz w:val="20"/>
          <w:szCs w:val="20"/>
          <w:lang w:val="en-GB"/>
        </w:rPr>
        <w:t xml:space="preserve">the contents of UE assistance for proper </w:t>
      </w:r>
      <w:r w:rsidR="00971082" w:rsidRPr="00A17021">
        <w:rPr>
          <w:rFonts w:ascii="Times New Roman" w:hAnsi="Times New Roman"/>
          <w:sz w:val="20"/>
          <w:szCs w:val="20"/>
          <w:lang w:val="en-GB"/>
        </w:rPr>
        <w:t xml:space="preserve">measurement gap </w:t>
      </w:r>
      <w:r w:rsidR="00971082">
        <w:rPr>
          <w:rFonts w:ascii="Times New Roman" w:hAnsi="Times New Roman"/>
          <w:sz w:val="20"/>
          <w:szCs w:val="20"/>
          <w:lang w:val="en-GB"/>
        </w:rPr>
        <w:t>and</w:t>
      </w:r>
      <w:r w:rsidR="00971082" w:rsidRPr="00A17021">
        <w:rPr>
          <w:rFonts w:ascii="Times New Roman" w:hAnsi="Times New Roman"/>
          <w:sz w:val="20"/>
          <w:szCs w:val="20"/>
          <w:lang w:val="en-GB"/>
        </w:rPr>
        <w:t xml:space="preserve"> SMTC</w:t>
      </w:r>
      <w:r w:rsidR="00971082">
        <w:rPr>
          <w:rFonts w:ascii="Times New Roman" w:hAnsi="Times New Roman"/>
          <w:sz w:val="20"/>
          <w:szCs w:val="20"/>
          <w:lang w:val="en-GB"/>
        </w:rPr>
        <w:t xml:space="preserve"> configuration </w:t>
      </w:r>
      <w:r w:rsidR="00971082">
        <w:rPr>
          <w:rFonts w:ascii="Times New Roman" w:hAnsi="Times New Roman"/>
          <w:sz w:val="20"/>
          <w:szCs w:val="20"/>
          <w:lang w:val="en-GB"/>
        </w:rPr>
        <w:lastRenderedPageBreak/>
        <w:t>addressing</w:t>
      </w:r>
      <w:r w:rsidR="00971082" w:rsidRPr="00971082">
        <w:t xml:space="preserve"> </w:t>
      </w:r>
      <w:r w:rsidR="00971082" w:rsidRPr="00971082">
        <w:rPr>
          <w:rFonts w:ascii="Times New Roman" w:hAnsi="Times New Roman"/>
          <w:sz w:val="20"/>
          <w:szCs w:val="20"/>
          <w:lang w:val="en-GB"/>
        </w:rPr>
        <w:t xml:space="preserve">the different/larger propagation delays </w:t>
      </w:r>
      <w:r w:rsidR="00971082">
        <w:rPr>
          <w:rFonts w:ascii="Times New Roman" w:hAnsi="Times New Roman"/>
          <w:sz w:val="20"/>
          <w:szCs w:val="20"/>
          <w:lang w:val="en-GB"/>
        </w:rPr>
        <w:t>in NTN</w:t>
      </w:r>
      <w:r w:rsidR="00632713">
        <w:rPr>
          <w:rFonts w:ascii="Times New Roman" w:hAnsi="Times New Roman"/>
          <w:sz w:val="20"/>
          <w:szCs w:val="20"/>
        </w:rPr>
        <w:t>.</w:t>
      </w:r>
      <w:r w:rsidR="00160536">
        <w:rPr>
          <w:rFonts w:ascii="Times New Roman" w:hAnsi="Times New Roman"/>
          <w:sz w:val="20"/>
          <w:szCs w:val="20"/>
        </w:rPr>
        <w:t xml:space="preserve"> T</w:t>
      </w:r>
      <w:r w:rsidR="00513357" w:rsidRPr="00EB5C86">
        <w:rPr>
          <w:rFonts w:ascii="Times New Roman" w:hAnsi="Times New Roman"/>
          <w:sz w:val="20"/>
          <w:szCs w:val="20"/>
        </w:rPr>
        <w:t>he following</w:t>
      </w:r>
      <w:r w:rsidR="007A72BF">
        <w:rPr>
          <w:rFonts w:ascii="Times New Roman" w:hAnsi="Times New Roman"/>
          <w:sz w:val="20"/>
          <w:szCs w:val="20"/>
        </w:rPr>
        <w:t xml:space="preserve"> </w:t>
      </w:r>
      <w:r w:rsidR="007A72BF">
        <w:rPr>
          <w:rFonts w:ascii="Times New Roman" w:hAnsi="Times New Roman" w:hint="eastAsia"/>
          <w:sz w:val="20"/>
          <w:szCs w:val="20"/>
        </w:rPr>
        <w:t>o</w:t>
      </w:r>
      <w:r w:rsidR="007A72BF">
        <w:rPr>
          <w:rFonts w:ascii="Times New Roman" w:hAnsi="Times New Roman"/>
          <w:sz w:val="20"/>
          <w:szCs w:val="20"/>
        </w:rPr>
        <w:t>b</w:t>
      </w:r>
      <w:r w:rsidR="007A72BF">
        <w:rPr>
          <w:rFonts w:ascii="Times New Roman" w:hAnsi="Times New Roman" w:hint="eastAsia"/>
          <w:sz w:val="20"/>
          <w:szCs w:val="20"/>
        </w:rPr>
        <w:t>servation</w:t>
      </w:r>
      <w:r w:rsidR="007A72BF">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14:paraId="641C81B9" w14:textId="77777777" w:rsidR="00971082" w:rsidRPr="005A029C" w:rsidRDefault="00971082" w:rsidP="00971082">
      <w:pPr>
        <w:rPr>
          <w:rFonts w:ascii="Times New Roman" w:hAnsi="Times New Roman"/>
          <w:b/>
          <w:bCs/>
          <w:sz w:val="20"/>
          <w:szCs w:val="20"/>
        </w:rPr>
      </w:pPr>
      <w:r w:rsidRPr="005A029C">
        <w:rPr>
          <w:rFonts w:ascii="Times New Roman" w:hAnsi="Times New Roman" w:hint="eastAsia"/>
          <w:b/>
          <w:bCs/>
          <w:sz w:val="20"/>
          <w:szCs w:val="20"/>
          <w:lang w:val="en-GB"/>
        </w:rPr>
        <w:t>O</w:t>
      </w:r>
      <w:r w:rsidRPr="005A029C">
        <w:rPr>
          <w:rFonts w:ascii="Times New Roman" w:hAnsi="Times New Roman"/>
          <w:b/>
          <w:bCs/>
          <w:sz w:val="20"/>
          <w:szCs w:val="20"/>
          <w:lang w:val="en-GB"/>
        </w:rPr>
        <w:t xml:space="preserve">bservation 1: UE assistance providing </w:t>
      </w:r>
      <w:r w:rsidRPr="005A029C">
        <w:rPr>
          <w:rFonts w:ascii="Times New Roman" w:hAnsi="Times New Roman"/>
          <w:b/>
          <w:bCs/>
          <w:sz w:val="20"/>
          <w:szCs w:val="20"/>
        </w:rPr>
        <w:t>information of the propagation delay difference can help in measurement gap and</w:t>
      </w:r>
      <w:r>
        <w:rPr>
          <w:rFonts w:ascii="Times New Roman" w:hAnsi="Times New Roman"/>
          <w:b/>
          <w:bCs/>
          <w:sz w:val="20"/>
          <w:szCs w:val="20"/>
        </w:rPr>
        <w:t>/or</w:t>
      </w:r>
      <w:r w:rsidRPr="005A029C">
        <w:rPr>
          <w:rFonts w:ascii="Times New Roman" w:hAnsi="Times New Roman"/>
          <w:b/>
          <w:bCs/>
          <w:sz w:val="20"/>
          <w:szCs w:val="20"/>
        </w:rPr>
        <w:t xml:space="preserve"> SMTC configuration.</w:t>
      </w:r>
    </w:p>
    <w:p w14:paraId="34A975F7" w14:textId="77777777" w:rsidR="00971082" w:rsidRPr="008D0DA2" w:rsidRDefault="00971082" w:rsidP="00971082">
      <w:pPr>
        <w:rPr>
          <w:rFonts w:ascii="Times New Roman" w:hAnsi="Times New Roman"/>
          <w:b/>
          <w:bCs/>
          <w:sz w:val="20"/>
          <w:szCs w:val="20"/>
          <w:lang w:val="en-GB"/>
        </w:rPr>
      </w:pPr>
      <w:r w:rsidRPr="008D0DA2">
        <w:rPr>
          <w:rFonts w:ascii="Times New Roman" w:hAnsi="Times New Roman" w:hint="eastAsia"/>
          <w:b/>
          <w:bCs/>
          <w:sz w:val="20"/>
          <w:szCs w:val="20"/>
          <w:lang w:val="en-GB"/>
        </w:rPr>
        <w:t>O</w:t>
      </w:r>
      <w:r w:rsidRPr="008D0DA2">
        <w:rPr>
          <w:rFonts w:ascii="Times New Roman" w:hAnsi="Times New Roman"/>
          <w:b/>
          <w:bCs/>
          <w:sz w:val="20"/>
          <w:szCs w:val="20"/>
          <w:lang w:val="en-GB"/>
        </w:rPr>
        <w:t>bservation 2: Information of propagation delay difference between service links need to be provided to network by UE assistance.</w:t>
      </w:r>
    </w:p>
    <w:p w14:paraId="641F63D0" w14:textId="77777777" w:rsidR="00971082" w:rsidRPr="008D0DA2" w:rsidRDefault="00971082" w:rsidP="00971082">
      <w:pPr>
        <w:rPr>
          <w:rFonts w:ascii="Times New Roman" w:hAnsi="Times New Roman"/>
          <w:b/>
          <w:bCs/>
          <w:sz w:val="20"/>
          <w:szCs w:val="20"/>
          <w:lang w:val="en-GB"/>
        </w:rPr>
      </w:pPr>
      <w:r w:rsidRPr="008D0DA2">
        <w:rPr>
          <w:rFonts w:ascii="Times New Roman" w:hAnsi="Times New Roman" w:hint="eastAsia"/>
          <w:b/>
          <w:bCs/>
          <w:sz w:val="20"/>
          <w:szCs w:val="20"/>
          <w:lang w:val="en-GB"/>
        </w:rPr>
        <w:t>O</w:t>
      </w:r>
      <w:r w:rsidRPr="008D0DA2">
        <w:rPr>
          <w:rFonts w:ascii="Times New Roman" w:hAnsi="Times New Roman"/>
          <w:b/>
          <w:bCs/>
          <w:sz w:val="20"/>
          <w:szCs w:val="20"/>
          <w:lang w:val="en-GB"/>
        </w:rPr>
        <w:t>bservation 3: Information of propagation delay difference between feeder links can be obtained by network implementation.</w:t>
      </w:r>
    </w:p>
    <w:p w14:paraId="4AA5A6C2" w14:textId="77777777" w:rsidR="00B75BC3" w:rsidRPr="00B75BC3" w:rsidRDefault="00B75BC3" w:rsidP="00B75BC3">
      <w:pPr>
        <w:rPr>
          <w:rFonts w:ascii="Times New Roman" w:hAnsi="Times New Roman"/>
          <w:sz w:val="20"/>
          <w:szCs w:val="20"/>
          <w:lang w:val="en-GB"/>
        </w:rPr>
      </w:pPr>
      <w:r w:rsidRPr="00B75BC3">
        <w:rPr>
          <w:rFonts w:ascii="Times New Roman" w:hAnsi="Times New Roman" w:hint="eastAsia"/>
          <w:sz w:val="20"/>
          <w:szCs w:val="20"/>
          <w:lang w:val="en-GB"/>
        </w:rPr>
        <w:t>A</w:t>
      </w:r>
      <w:r w:rsidRPr="00B75BC3">
        <w:rPr>
          <w:rFonts w:ascii="Times New Roman" w:hAnsi="Times New Roman"/>
          <w:sz w:val="20"/>
          <w:szCs w:val="20"/>
          <w:lang w:val="en-GB"/>
        </w:rPr>
        <w:t>nd we propose:</w:t>
      </w:r>
    </w:p>
    <w:p w14:paraId="3D0C05B2" w14:textId="77777777" w:rsidR="00971082" w:rsidRPr="005A029C" w:rsidRDefault="00971082" w:rsidP="00971082">
      <w:pPr>
        <w:rPr>
          <w:rFonts w:ascii="Times New Roman" w:hAnsi="Times New Roman"/>
          <w:b/>
          <w:bCs/>
          <w:sz w:val="20"/>
          <w:szCs w:val="20"/>
        </w:rPr>
      </w:pPr>
      <w:r w:rsidRPr="005A029C">
        <w:rPr>
          <w:rFonts w:ascii="Times New Roman" w:hAnsi="Times New Roman" w:hint="eastAsia"/>
          <w:b/>
          <w:bCs/>
          <w:sz w:val="20"/>
          <w:szCs w:val="20"/>
        </w:rPr>
        <w:t>P</w:t>
      </w:r>
      <w:r w:rsidRPr="005A029C">
        <w:rPr>
          <w:rFonts w:ascii="Times New Roman" w:hAnsi="Times New Roman"/>
          <w:b/>
          <w:bCs/>
          <w:sz w:val="20"/>
          <w:szCs w:val="20"/>
        </w:rPr>
        <w:t>roposal 1: RAN2 to consider including the propagation delay difference from the UE to its serving and neighboring cells in UE assistance</w:t>
      </w:r>
      <w:r>
        <w:rPr>
          <w:rFonts w:ascii="Times New Roman" w:hAnsi="Times New Roman"/>
          <w:b/>
          <w:bCs/>
          <w:sz w:val="20"/>
          <w:szCs w:val="20"/>
        </w:rPr>
        <w:t xml:space="preserve"> for </w:t>
      </w:r>
      <w:r w:rsidRPr="005A029C">
        <w:rPr>
          <w:rFonts w:ascii="Times New Roman" w:hAnsi="Times New Roman"/>
          <w:b/>
          <w:bCs/>
          <w:sz w:val="20"/>
          <w:szCs w:val="20"/>
        </w:rPr>
        <w:t>measurement gap and</w:t>
      </w:r>
      <w:r>
        <w:rPr>
          <w:rFonts w:ascii="Times New Roman" w:hAnsi="Times New Roman"/>
          <w:b/>
          <w:bCs/>
          <w:sz w:val="20"/>
          <w:szCs w:val="20"/>
        </w:rPr>
        <w:t>/or</w:t>
      </w:r>
      <w:r w:rsidRPr="005A029C">
        <w:rPr>
          <w:rFonts w:ascii="Times New Roman" w:hAnsi="Times New Roman"/>
          <w:b/>
          <w:bCs/>
          <w:sz w:val="20"/>
          <w:szCs w:val="20"/>
        </w:rPr>
        <w:t xml:space="preserve"> SMTC configuration, or the propagation delay from the UE to its neighboring cells if TA report is agreed.</w:t>
      </w:r>
    </w:p>
    <w:p w14:paraId="11434F30" w14:textId="77777777" w:rsidR="00971082" w:rsidRPr="008D0DA2" w:rsidRDefault="00971082" w:rsidP="00971082">
      <w:pPr>
        <w:rPr>
          <w:rFonts w:ascii="Times New Roman" w:hAnsi="Times New Roman"/>
          <w:b/>
          <w:bCs/>
          <w:sz w:val="20"/>
          <w:szCs w:val="20"/>
          <w:lang w:val="en-GB"/>
        </w:rPr>
      </w:pPr>
      <w:r w:rsidRPr="008D0DA2">
        <w:rPr>
          <w:rFonts w:ascii="Times New Roman" w:hAnsi="Times New Roman" w:hint="eastAsia"/>
          <w:b/>
          <w:bCs/>
          <w:sz w:val="20"/>
          <w:szCs w:val="20"/>
          <w:lang w:val="en-GB"/>
        </w:rPr>
        <w:t>P</w:t>
      </w:r>
      <w:r w:rsidRPr="008D0DA2">
        <w:rPr>
          <w:rFonts w:ascii="Times New Roman" w:hAnsi="Times New Roman"/>
          <w:b/>
          <w:bCs/>
          <w:sz w:val="20"/>
          <w:szCs w:val="20"/>
          <w:lang w:val="en-GB"/>
        </w:rPr>
        <w:t>roposal 2: If Proposal 1 is agreed, the propagation delay difference(s) or delay(s) included in UE assistance are associated with the service links (i.e. UE to satellites)</w:t>
      </w:r>
      <w:r>
        <w:rPr>
          <w:rFonts w:ascii="Times New Roman" w:hAnsi="Times New Roman"/>
          <w:b/>
          <w:bCs/>
          <w:sz w:val="20"/>
          <w:szCs w:val="20"/>
          <w:lang w:val="en-GB"/>
        </w:rPr>
        <w:t>.</w:t>
      </w:r>
    </w:p>
    <w:p w14:paraId="34FC931C" w14:textId="1905944C" w:rsidR="00083898" w:rsidRPr="00971082" w:rsidRDefault="00971082" w:rsidP="00971082">
      <w:pPr>
        <w:rPr>
          <w:rFonts w:ascii="Times New Roman" w:hAnsi="Times New Roman"/>
          <w:b/>
          <w:bCs/>
          <w:sz w:val="20"/>
          <w:szCs w:val="20"/>
        </w:rPr>
      </w:pPr>
      <w:r w:rsidRPr="00971082">
        <w:rPr>
          <w:rFonts w:ascii="Times New Roman" w:hAnsi="Times New Roman" w:hint="eastAsia"/>
          <w:b/>
          <w:bCs/>
          <w:sz w:val="20"/>
          <w:szCs w:val="20"/>
        </w:rPr>
        <w:t>P</w:t>
      </w:r>
      <w:r w:rsidRPr="00971082">
        <w:rPr>
          <w:rFonts w:ascii="Times New Roman" w:hAnsi="Times New Roman"/>
          <w:b/>
          <w:bCs/>
          <w:sz w:val="20"/>
          <w:szCs w:val="20"/>
        </w:rPr>
        <w:t>roposal 3: If Proposal 1 is agreed, no need to introduce UE location reporting for the same issue.</w:t>
      </w:r>
    </w:p>
    <w:sectPr w:rsidR="00083898" w:rsidRPr="00971082"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C78B9C" w14:textId="77777777" w:rsidR="001122FD" w:rsidRDefault="001122FD">
      <w:r>
        <w:separator/>
      </w:r>
    </w:p>
  </w:endnote>
  <w:endnote w:type="continuationSeparator" w:id="0">
    <w:p w14:paraId="2B87BDEF" w14:textId="77777777" w:rsidR="001122FD" w:rsidRDefault="00112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9AE421" w14:textId="77777777" w:rsidR="001122FD" w:rsidRDefault="001122FD">
      <w:r>
        <w:separator/>
      </w:r>
    </w:p>
  </w:footnote>
  <w:footnote w:type="continuationSeparator" w:id="0">
    <w:p w14:paraId="32AC0AC7" w14:textId="77777777" w:rsidR="001122FD" w:rsidRDefault="001122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7AF6F16"/>
    <w:multiLevelType w:val="multilevel"/>
    <w:tmpl w:val="07AF6F16"/>
    <w:lvl w:ilvl="0">
      <w:start w:val="6"/>
      <w:numFmt w:val="bullet"/>
      <w:lvlText w:val="-"/>
      <w:lvlJc w:val="left"/>
      <w:pPr>
        <w:tabs>
          <w:tab w:val="left" w:pos="1080"/>
        </w:tabs>
        <w:ind w:left="1080" w:hanging="360"/>
      </w:pPr>
      <w:rPr>
        <w:rFonts w:ascii="Arial" w:eastAsia="MS Mincho" w:hAnsi="Arial" w:cs="Arial" w:hint="default"/>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EF13D5"/>
    <w:multiLevelType w:val="hybridMultilevel"/>
    <w:tmpl w:val="EDB49B40"/>
    <w:lvl w:ilvl="0" w:tplc="293C716A">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BB5094"/>
    <w:multiLevelType w:val="multilevel"/>
    <w:tmpl w:val="2FBB50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7574594"/>
    <w:multiLevelType w:val="hybridMultilevel"/>
    <w:tmpl w:val="0088CAF0"/>
    <w:lvl w:ilvl="0" w:tplc="427ACB38">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415F2CAE"/>
    <w:multiLevelType w:val="hybridMultilevel"/>
    <w:tmpl w:val="92683B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651C2740"/>
    <w:multiLevelType w:val="hybridMultilevel"/>
    <w:tmpl w:val="002251E6"/>
    <w:lvl w:ilvl="0" w:tplc="04090003">
      <w:start w:val="1"/>
      <w:numFmt w:val="bullet"/>
      <w:lvlText w:val=""/>
      <w:lvlJc w:val="left"/>
      <w:pPr>
        <w:ind w:left="2220" w:hanging="420"/>
      </w:pPr>
      <w:rPr>
        <w:rFonts w:ascii="Wingdings" w:hAnsi="Wingdings"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27"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8"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C15A2C"/>
    <w:multiLevelType w:val="hybridMultilevel"/>
    <w:tmpl w:val="21E48E08"/>
    <w:lvl w:ilvl="0" w:tplc="89EC9BAA">
      <w:start w:val="1"/>
      <w:numFmt w:val="upperLetter"/>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15:restartNumberingAfterBreak="0">
    <w:nsid w:val="7AF13666"/>
    <w:multiLevelType w:val="hybridMultilevel"/>
    <w:tmpl w:val="4990A15C"/>
    <w:lvl w:ilvl="0" w:tplc="CB3A21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F8A1D02"/>
    <w:multiLevelType w:val="hybridMultilevel"/>
    <w:tmpl w:val="F9AA7016"/>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
  </w:num>
  <w:num w:numId="3">
    <w:abstractNumId w:val="33"/>
  </w:num>
  <w:num w:numId="4">
    <w:abstractNumId w:val="4"/>
  </w:num>
  <w:num w:numId="5">
    <w:abstractNumId w:val="34"/>
  </w:num>
  <w:num w:numId="6">
    <w:abstractNumId w:val="16"/>
  </w:num>
  <w:num w:numId="7">
    <w:abstractNumId w:val="11"/>
  </w:num>
  <w:num w:numId="8">
    <w:abstractNumId w:val="27"/>
  </w:num>
  <w:num w:numId="9">
    <w:abstractNumId w:val="6"/>
  </w:num>
  <w:num w:numId="10">
    <w:abstractNumId w:val="22"/>
  </w:num>
  <w:num w:numId="11">
    <w:abstractNumId w:val="24"/>
  </w:num>
  <w:num w:numId="12">
    <w:abstractNumId w:val="20"/>
  </w:num>
  <w:num w:numId="13">
    <w:abstractNumId w:val="25"/>
  </w:num>
  <w:num w:numId="14">
    <w:abstractNumId w:val="14"/>
  </w:num>
  <w:num w:numId="15">
    <w:abstractNumId w:val="3"/>
  </w:num>
  <w:num w:numId="16">
    <w:abstractNumId w:val="21"/>
  </w:num>
  <w:num w:numId="17">
    <w:abstractNumId w:val="29"/>
  </w:num>
  <w:num w:numId="18">
    <w:abstractNumId w:val="23"/>
  </w:num>
  <w:num w:numId="19">
    <w:abstractNumId w:val="29"/>
  </w:num>
  <w:num w:numId="20">
    <w:abstractNumId w:val="28"/>
  </w:num>
  <w:num w:numId="21">
    <w:abstractNumId w:val="29"/>
  </w:num>
  <w:num w:numId="22">
    <w:abstractNumId w:val="9"/>
  </w:num>
  <w:num w:numId="23">
    <w:abstractNumId w:val="29"/>
  </w:num>
  <w:num w:numId="24">
    <w:abstractNumId w:val="8"/>
  </w:num>
  <w:num w:numId="25">
    <w:abstractNumId w:val="7"/>
  </w:num>
  <w:num w:numId="26">
    <w:abstractNumId w:val="17"/>
  </w:num>
  <w:num w:numId="27">
    <w:abstractNumId w:val="30"/>
  </w:num>
  <w:num w:numId="28">
    <w:abstractNumId w:val="5"/>
  </w:num>
  <w:num w:numId="29">
    <w:abstractNumId w:val="26"/>
  </w:num>
  <w:num w:numId="30">
    <w:abstractNumId w:val="15"/>
  </w:num>
  <w:num w:numId="31">
    <w:abstractNumId w:val="35"/>
  </w:num>
  <w:num w:numId="32">
    <w:abstractNumId w:val="18"/>
  </w:num>
  <w:num w:numId="33">
    <w:abstractNumId w:val="1"/>
  </w:num>
  <w:num w:numId="34">
    <w:abstractNumId w:val="12"/>
  </w:num>
  <w:num w:numId="35">
    <w:abstractNumId w:val="0"/>
  </w:num>
  <w:num w:numId="36">
    <w:abstractNumId w:val="31"/>
  </w:num>
  <w:num w:numId="37">
    <w:abstractNumId w:val="13"/>
  </w:num>
  <w:num w:numId="38">
    <w:abstractNumId w:val="10"/>
  </w:num>
  <w:num w:numId="39">
    <w:abstractNumId w:val="3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32FF"/>
    <w:rsid w:val="00363B83"/>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C16"/>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713"/>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3F9"/>
    <w:rsid w:val="00686606"/>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5602"/>
    <w:rsid w:val="008C57E6"/>
    <w:rsid w:val="008C6C44"/>
    <w:rsid w:val="008C6C59"/>
    <w:rsid w:val="008C6E74"/>
    <w:rsid w:val="008C7912"/>
    <w:rsid w:val="008D0DA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021"/>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4DA"/>
    <w:rsid w:val="00C3081D"/>
    <w:rsid w:val="00C30FC7"/>
    <w:rsid w:val="00C315D8"/>
    <w:rsid w:val="00C31ED8"/>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5B00"/>
    <w:rsid w:val="00CF62CC"/>
    <w:rsid w:val="00CF6889"/>
    <w:rsid w:val="00CF6C6B"/>
    <w:rsid w:val="00CF76D0"/>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32"/>
      </w:numPr>
      <w:spacing w:before="40"/>
      <w:jc w:val="left"/>
    </w:pPr>
    <w:rPr>
      <w:rFonts w:ascii="Arial" w:hAnsi="Arial" w:cs="Arial"/>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792</TotalTime>
  <Pages>1</Pages>
  <Words>1082</Words>
  <Characters>6169</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 Min13 Xu</cp:lastModifiedBy>
  <cp:revision>44</cp:revision>
  <cp:lastPrinted>2012-10-30T00:20:00Z</cp:lastPrinted>
  <dcterms:created xsi:type="dcterms:W3CDTF">2020-08-03T07:44:00Z</dcterms:created>
  <dcterms:modified xsi:type="dcterms:W3CDTF">2021-05-11T00:42:00Z</dcterms:modified>
</cp:coreProperties>
</file>